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261"/>
        <w:jc w:val="center"/>
        <w:rPr>
          <w:rFonts w:hint="eastAsia" w:ascii="宋体" w:hAnsi="宋体" w:eastAsia="宋体" w:cs="宋体"/>
          <w:b/>
          <w:color w:val="auto"/>
          <w:kern w:val="1"/>
          <w:sz w:val="84"/>
          <w:szCs w:val="84"/>
        </w:rPr>
      </w:pPr>
      <w:bookmarkStart w:id="58" w:name="_GoBack"/>
      <w:bookmarkEnd w:id="58"/>
      <w:r>
        <w:rPr>
          <w:rFonts w:hint="eastAsia" w:ascii="宋体" w:hAnsi="宋体" w:eastAsia="宋体" w:cs="宋体"/>
          <w:b/>
          <w:color w:val="auto"/>
          <w:kern w:val="1"/>
          <w:sz w:val="52"/>
          <w:szCs w:val="52"/>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635" cy="0"/>
                <wp:effectExtent l="0" t="0" r="0" b="0"/>
                <wp:wrapNone/>
                <wp:docPr id="1" name="文本框2"/>
                <wp:cNvGraphicFramePr/>
                <a:graphic xmlns:a="http://schemas.openxmlformats.org/drawingml/2006/main">
                  <a:graphicData uri="http://schemas.microsoft.com/office/word/2010/wordprocessingShape">
                    <wps:wsp>
                      <wps:cNvSpPr txBox="1">
                        <a:spLocks noChangeArrowheads="1"/>
                      </wps:cNvSpPr>
                      <wps:spPr bwMode="auto">
                        <a:xfrm>
                          <a:off x="0" y="0"/>
                          <a:ext cx="635" cy="0"/>
                        </a:xfrm>
                        <a:prstGeom prst="rect">
                          <a:avLst/>
                        </a:prstGeom>
                        <a:solidFill>
                          <a:srgbClr val="FFFFFF"/>
                        </a:solidFill>
                        <a:ln>
                          <a:noFill/>
                        </a:ln>
                        <a:effectLst/>
                      </wps:spPr>
                      <wps:txbx>
                        <w:txbxContent>
                          <w:p/>
                        </w:txbxContent>
                      </wps:txbx>
                      <wps:bodyPr rot="0" vert="vert" wrap="square" lIns="0" tIns="0" rIns="0" bIns="0" anchor="t" anchorCtr="0" upright="1">
                        <a:noAutofit/>
                      </wps:bodyPr>
                    </wps:wsp>
                  </a:graphicData>
                </a:graphic>
              </wp:anchor>
            </w:drawing>
          </mc:Choice>
          <mc:Fallback>
            <w:pict>
              <v:shape id="文本框2" o:spid="_x0000_s1026" o:spt="202" type="#_x0000_t202" style="position:absolute;left:0pt;margin-left:0pt;margin-top:0pt;height:0pt;width:0.05pt;mso-position-horizontal-relative:page;mso-position-vertical-relative:page;z-index:-251657216;mso-width-relative:page;mso-height-relative:page;" fillcolor="#FFFFFF" filled="t" stroked="f" coordsize="21600,21600" o:allowincell="f" o:gfxdata="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8Qazy88AAAD/AAAADwAAAAAAAAAB&#10;ACAAAAAiAAAAZHJzL2Rvd25yZXYueG1sUEsBAhQAFAAAAAgAh07iQPQH+cMZAgAAMgQAAA4AAAAA&#10;AAAAAQAgAAAAHgEAAGRycy9lMm9Eb2MueG1sUEsFBgAAAAAGAAYAWQEAAKkFAAAAAA==&#10;">
                <v:fill on="t" focussize="0,0"/>
                <v:stroke on="f"/>
                <v:imagedata o:title=""/>
                <o:lock v:ext="edit" aspectratio="f"/>
                <v:textbox inset="0mm,0mm,0mm,0mm" style="layout-flow:vertical;">
                  <w:txbxContent>
                    <w:p/>
                  </w:txbxContent>
                </v:textbox>
              </v:shape>
            </w:pict>
          </mc:Fallback>
        </mc:AlternateContent>
      </w:r>
      <w:r>
        <w:rPr>
          <w:rFonts w:hint="eastAsia" w:ascii="宋体" w:hAnsi="宋体" w:eastAsia="宋体" w:cs="宋体"/>
          <w:b/>
          <w:color w:val="auto"/>
          <w:kern w:val="1"/>
          <w:sz w:val="52"/>
          <w:szCs w:val="52"/>
        </w:rPr>
        <mc:AlternateContent>
          <mc:Choice Requires="wps">
            <w:drawing>
              <wp:anchor distT="0" distB="0" distL="114300" distR="114300" simplePos="0" relativeHeight="251660288" behindDoc="1" locked="0" layoutInCell="0" allowOverlap="1">
                <wp:simplePos x="0" y="0"/>
                <wp:positionH relativeFrom="page">
                  <wp:posOffset>0</wp:posOffset>
                </wp:positionH>
                <wp:positionV relativeFrom="page">
                  <wp:posOffset>0</wp:posOffset>
                </wp:positionV>
                <wp:extent cx="635" cy="0"/>
                <wp:effectExtent l="0" t="0" r="0" b="0"/>
                <wp:wrapNone/>
                <wp:docPr id="2" name="文本框1"/>
                <wp:cNvGraphicFramePr/>
                <a:graphic xmlns:a="http://schemas.openxmlformats.org/drawingml/2006/main">
                  <a:graphicData uri="http://schemas.microsoft.com/office/word/2010/wordprocessingShape">
                    <wps:wsp>
                      <wps:cNvSpPr txBox="1">
                        <a:spLocks noChangeArrowheads="1"/>
                      </wps:cNvSpPr>
                      <wps:spPr bwMode="auto">
                        <a:xfrm>
                          <a:off x="0" y="0"/>
                          <a:ext cx="635" cy="0"/>
                        </a:xfrm>
                        <a:prstGeom prst="rect">
                          <a:avLst/>
                        </a:prstGeom>
                        <a:solidFill>
                          <a:srgbClr val="FFFFFF"/>
                        </a:solidFill>
                        <a:ln>
                          <a:noFill/>
                        </a:ln>
                        <a:effectLst/>
                      </wps:spPr>
                      <wps:txbx>
                        <w:txbxContent>
                          <w:p/>
                        </w:txbxContent>
                      </wps:txbx>
                      <wps:bodyPr rot="0" vert="vert" wrap="square" lIns="0" tIns="0" rIns="0" bIns="0" anchor="t" anchorCtr="0" upright="1">
                        <a:noAutofit/>
                      </wps:bodyPr>
                    </wps:wsp>
                  </a:graphicData>
                </a:graphic>
              </wp:anchor>
            </w:drawing>
          </mc:Choice>
          <mc:Fallback>
            <w:pict>
              <v:shape id="文本框1" o:spid="_x0000_s1026" o:spt="202" type="#_x0000_t202" style="position:absolute;left:0pt;margin-left:0pt;margin-top:0pt;height:0pt;width:0.05pt;mso-position-horizontal-relative:page;mso-position-vertical-relative:page;z-index:-251656192;mso-width-relative:page;mso-height-relative:page;" fillcolor="#FFFFFF" filled="t" stroked="f" coordsize="21600,21600" o:allowincell="f" o:gfxdata="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EGs8vPAAAA/wAAAA8AAAAAAAAA&#10;AQAgAAAAIgAAAGRycy9kb3ducmV2LnhtbFBLAQIUABQAAAAIAIdO4kBo0BX7GgIAADIEAAAOAAAA&#10;AAAAAAEAIAAAAB4BAABkcnMvZTJvRG9jLnhtbFBLBQYAAAAABgAGAFkBAACqBQAAAAA=&#10;">
                <v:fill on="t" focussize="0,0"/>
                <v:stroke on="f"/>
                <v:imagedata o:title=""/>
                <o:lock v:ext="edit" aspectratio="f"/>
                <v:textbox inset="0mm,0mm,0mm,0mm" style="layout-flow:vertical;">
                  <w:txbxContent>
                    <w:p/>
                  </w:txbxContent>
                </v:textbox>
              </v:shape>
            </w:pict>
          </mc:Fallback>
        </mc:AlternateContent>
      </w:r>
      <w:r>
        <w:rPr>
          <w:rFonts w:hint="eastAsia" w:ascii="宋体" w:hAnsi="宋体" w:eastAsia="宋体" w:cs="宋体"/>
          <w:b/>
          <w:color w:val="auto"/>
          <w:kern w:val="1"/>
          <w:sz w:val="44"/>
          <w:szCs w:val="44"/>
          <w:lang w:eastAsia="zh-CN"/>
        </w:rPr>
        <w:t>驻马店市发展投资集团有限公司选聘2023年公开发行短期融资券或超短期融资券主承销商项目</w:t>
      </w:r>
    </w:p>
    <w:p>
      <w:pPr>
        <w:widowControl/>
        <w:spacing w:before="156" w:line="360" w:lineRule="auto"/>
        <w:jc w:val="center"/>
        <w:rPr>
          <w:rFonts w:hint="eastAsia" w:ascii="宋体" w:hAnsi="宋体" w:eastAsia="宋体" w:cs="宋体"/>
          <w:b/>
          <w:color w:val="auto"/>
          <w:kern w:val="1"/>
          <w:sz w:val="84"/>
          <w:szCs w:val="84"/>
        </w:rPr>
      </w:pPr>
    </w:p>
    <w:p>
      <w:pPr>
        <w:pStyle w:val="2"/>
        <w:rPr>
          <w:rFonts w:hint="eastAsia"/>
          <w:color w:val="auto"/>
        </w:rPr>
      </w:pPr>
    </w:p>
    <w:p>
      <w:pPr>
        <w:widowControl/>
        <w:spacing w:before="156" w:line="360" w:lineRule="auto"/>
        <w:jc w:val="center"/>
        <w:rPr>
          <w:rFonts w:hint="eastAsia" w:ascii="宋体" w:hAnsi="宋体" w:eastAsia="宋体" w:cs="宋体"/>
          <w:b/>
          <w:color w:val="auto"/>
          <w:kern w:val="1"/>
          <w:sz w:val="84"/>
          <w:szCs w:val="84"/>
        </w:rPr>
      </w:pPr>
      <w:r>
        <w:rPr>
          <w:rFonts w:hint="eastAsia" w:ascii="宋体" w:hAnsi="宋体" w:eastAsia="宋体" w:cs="宋体"/>
          <w:b/>
          <w:color w:val="auto"/>
          <w:kern w:val="1"/>
          <w:sz w:val="84"/>
          <w:szCs w:val="84"/>
        </w:rPr>
        <w:t>比选文件</w:t>
      </w:r>
    </w:p>
    <w:p>
      <w:pPr>
        <w:widowControl/>
        <w:tabs>
          <w:tab w:val="left" w:pos="3030"/>
          <w:tab w:val="center" w:pos="4819"/>
        </w:tabs>
        <w:spacing w:line="360" w:lineRule="auto"/>
        <w:jc w:val="center"/>
        <w:rPr>
          <w:rFonts w:hint="eastAsia" w:ascii="宋体" w:hAnsi="宋体" w:eastAsia="宋体" w:cs="宋体"/>
          <w:b/>
          <w:color w:val="auto"/>
          <w:kern w:val="1"/>
          <w:sz w:val="32"/>
        </w:rPr>
      </w:pPr>
    </w:p>
    <w:p>
      <w:pPr>
        <w:widowControl/>
        <w:spacing w:line="360" w:lineRule="auto"/>
        <w:jc w:val="center"/>
        <w:rPr>
          <w:rFonts w:hint="eastAsia" w:ascii="宋体" w:hAnsi="宋体" w:eastAsia="宋体" w:cs="宋体"/>
          <w:b/>
          <w:color w:val="auto"/>
          <w:kern w:val="1"/>
          <w:sz w:val="32"/>
        </w:rPr>
      </w:pPr>
    </w:p>
    <w:p>
      <w:pPr>
        <w:widowControl/>
        <w:spacing w:line="360" w:lineRule="auto"/>
        <w:rPr>
          <w:rFonts w:hint="eastAsia" w:ascii="宋体" w:hAnsi="宋体" w:eastAsia="宋体" w:cs="宋体"/>
          <w:b/>
          <w:color w:val="auto"/>
          <w:kern w:val="1"/>
          <w:sz w:val="32"/>
        </w:rPr>
      </w:pPr>
    </w:p>
    <w:p>
      <w:pPr>
        <w:widowControl/>
        <w:spacing w:line="360" w:lineRule="auto"/>
        <w:jc w:val="center"/>
        <w:rPr>
          <w:rFonts w:hint="eastAsia" w:ascii="宋体" w:hAnsi="宋体" w:eastAsia="宋体" w:cs="宋体"/>
          <w:b/>
          <w:color w:val="auto"/>
          <w:kern w:val="1"/>
          <w:sz w:val="32"/>
        </w:rPr>
      </w:pPr>
    </w:p>
    <w:p>
      <w:pPr>
        <w:widowControl/>
        <w:spacing w:line="360" w:lineRule="auto"/>
        <w:jc w:val="center"/>
        <w:rPr>
          <w:rFonts w:hint="eastAsia" w:ascii="宋体" w:hAnsi="宋体" w:eastAsia="宋体" w:cs="宋体"/>
          <w:b/>
          <w:color w:val="auto"/>
          <w:kern w:val="1"/>
          <w:sz w:val="32"/>
        </w:rPr>
      </w:pPr>
    </w:p>
    <w:p>
      <w:pPr>
        <w:pStyle w:val="2"/>
        <w:rPr>
          <w:rFonts w:hint="eastAsia"/>
          <w:color w:val="auto"/>
        </w:rPr>
      </w:pPr>
    </w:p>
    <w:p>
      <w:pPr>
        <w:widowControl/>
        <w:spacing w:line="360" w:lineRule="auto"/>
        <w:jc w:val="center"/>
        <w:rPr>
          <w:rFonts w:hint="eastAsia" w:ascii="宋体" w:hAnsi="宋体" w:eastAsia="宋体" w:cs="宋体"/>
          <w:b/>
          <w:color w:val="auto"/>
          <w:kern w:val="1"/>
          <w:sz w:val="32"/>
        </w:rPr>
      </w:pPr>
    </w:p>
    <w:p>
      <w:pPr>
        <w:spacing w:line="360" w:lineRule="auto"/>
        <w:jc w:val="center"/>
        <w:rPr>
          <w:rFonts w:hint="eastAsia" w:ascii="宋体" w:hAnsi="宋体" w:eastAsia="宋体" w:cs="宋体"/>
          <w:b/>
          <w:color w:val="auto"/>
          <w:kern w:val="1"/>
          <w:sz w:val="32"/>
          <w:szCs w:val="32"/>
          <w:lang w:eastAsia="zh-CN"/>
        </w:rPr>
      </w:pPr>
      <w:r>
        <w:rPr>
          <w:rFonts w:hint="eastAsia" w:ascii="宋体" w:hAnsi="宋体" w:eastAsia="宋体" w:cs="宋体"/>
          <w:b/>
          <w:bCs/>
          <w:color w:val="auto"/>
          <w:kern w:val="1"/>
          <w:sz w:val="32"/>
        </w:rPr>
        <w:t>比选人：</w:t>
      </w:r>
      <w:r>
        <w:rPr>
          <w:rFonts w:hint="eastAsia" w:ascii="宋体" w:hAnsi="宋体" w:eastAsia="宋体" w:cs="宋体"/>
          <w:b/>
          <w:bCs/>
          <w:color w:val="auto"/>
          <w:kern w:val="1"/>
          <w:sz w:val="32"/>
          <w:lang w:eastAsia="zh-CN"/>
        </w:rPr>
        <w:t>驻马店市发展投资集团有限公司</w:t>
      </w:r>
    </w:p>
    <w:p>
      <w:pPr>
        <w:widowControl/>
        <w:spacing w:line="360" w:lineRule="auto"/>
        <w:jc w:val="center"/>
        <w:rPr>
          <w:rFonts w:hint="eastAsia" w:ascii="宋体" w:hAnsi="宋体" w:eastAsia="宋体" w:cs="宋体"/>
          <w:b/>
          <w:color w:val="auto"/>
          <w:spacing w:val="68"/>
          <w:kern w:val="1"/>
          <w:sz w:val="32"/>
        </w:rPr>
      </w:pPr>
      <w:r>
        <w:rPr>
          <w:rFonts w:hint="eastAsia" w:ascii="宋体" w:hAnsi="宋体" w:eastAsia="宋体" w:cs="宋体"/>
          <w:b/>
          <w:color w:val="auto"/>
          <w:spacing w:val="68"/>
          <w:kern w:val="1"/>
          <w:sz w:val="32"/>
        </w:rPr>
        <w:t>代理机构：河南招标采购服务有限公司</w:t>
      </w:r>
    </w:p>
    <w:p>
      <w:pPr>
        <w:widowControl/>
        <w:spacing w:before="156" w:line="360" w:lineRule="auto"/>
        <w:jc w:val="center"/>
        <w:rPr>
          <w:rFonts w:hint="eastAsia" w:ascii="宋体" w:hAnsi="宋体" w:eastAsia="宋体" w:cs="宋体"/>
          <w:b/>
          <w:color w:val="auto"/>
          <w:kern w:val="1"/>
          <w:sz w:val="32"/>
        </w:rPr>
      </w:pPr>
      <w:r>
        <w:rPr>
          <w:rFonts w:hint="eastAsia" w:ascii="宋体" w:hAnsi="宋体" w:eastAsia="宋体" w:cs="宋体"/>
          <w:b/>
          <w:color w:val="auto"/>
          <w:kern w:val="1"/>
          <w:sz w:val="32"/>
        </w:rPr>
        <w:t>二〇二三年</w:t>
      </w:r>
      <w:r>
        <w:rPr>
          <w:rFonts w:hint="eastAsia" w:ascii="宋体" w:hAnsi="宋体" w:eastAsia="宋体" w:cs="宋体"/>
          <w:b/>
          <w:color w:val="auto"/>
          <w:kern w:val="1"/>
          <w:sz w:val="32"/>
          <w:lang w:eastAsia="zh-CN"/>
        </w:rPr>
        <w:t>七</w:t>
      </w:r>
      <w:r>
        <w:rPr>
          <w:rFonts w:hint="eastAsia" w:ascii="宋体" w:hAnsi="宋体" w:eastAsia="宋体" w:cs="宋体"/>
          <w:b/>
          <w:color w:val="auto"/>
          <w:kern w:val="1"/>
          <w:sz w:val="32"/>
        </w:rPr>
        <w:t>月</w:t>
      </w:r>
    </w:p>
    <w:p>
      <w:pPr>
        <w:spacing w:line="600" w:lineRule="auto"/>
        <w:jc w:val="center"/>
        <w:rPr>
          <w:rFonts w:hint="eastAsia" w:ascii="宋体" w:hAnsi="宋体" w:eastAsia="宋体" w:cs="宋体"/>
          <w:b/>
          <w:color w:val="auto"/>
          <w:sz w:val="28"/>
        </w:rPr>
      </w:pPr>
    </w:p>
    <w:p>
      <w:pPr>
        <w:spacing w:line="360" w:lineRule="auto"/>
        <w:jc w:val="center"/>
        <w:rPr>
          <w:rFonts w:hint="eastAsia" w:ascii="宋体" w:hAnsi="宋体" w:eastAsia="宋体" w:cs="宋体"/>
          <w:b/>
          <w:color w:val="auto"/>
          <w:kern w:val="1"/>
          <w:sz w:val="36"/>
          <w:szCs w:val="36"/>
        </w:rPr>
        <w:sectPr>
          <w:headerReference r:id="rId3" w:type="first"/>
          <w:footerReference r:id="rId4" w:type="default"/>
          <w:pgSz w:w="11906" w:h="16838"/>
          <w:pgMar w:top="1418" w:right="1286" w:bottom="1418" w:left="1440" w:header="851" w:footer="992" w:gutter="0"/>
          <w:cols w:space="720" w:num="1"/>
        </w:sectPr>
      </w:pPr>
    </w:p>
    <w:p>
      <w:pPr>
        <w:spacing w:line="360" w:lineRule="auto"/>
        <w:jc w:val="center"/>
        <w:rPr>
          <w:rFonts w:hint="eastAsia" w:ascii="宋体" w:hAnsi="宋体" w:eastAsia="宋体" w:cs="宋体"/>
          <w:b/>
          <w:color w:val="auto"/>
          <w:kern w:val="1"/>
          <w:sz w:val="36"/>
          <w:szCs w:val="36"/>
        </w:rPr>
      </w:pPr>
      <w:r>
        <w:rPr>
          <w:rFonts w:hint="eastAsia" w:ascii="宋体" w:hAnsi="宋体" w:eastAsia="宋体" w:cs="宋体"/>
          <w:b/>
          <w:color w:val="auto"/>
          <w:kern w:val="1"/>
          <w:sz w:val="36"/>
          <w:szCs w:val="36"/>
        </w:rPr>
        <w:t>目录</w:t>
      </w:r>
    </w:p>
    <w:p>
      <w:pPr>
        <w:rPr>
          <w:rFonts w:hint="eastAsia" w:ascii="宋体" w:hAnsi="宋体" w:eastAsia="宋体" w:cs="宋体"/>
          <w:color w:val="auto"/>
          <w:sz w:val="28"/>
          <w:szCs w:val="28"/>
          <w:lang w:val="zh-CN"/>
        </w:rPr>
      </w:pPr>
    </w:p>
    <w:p>
      <w:pPr>
        <w:pStyle w:val="21"/>
        <w:rPr>
          <w:rFonts w:hint="eastAsia" w:ascii="宋体" w:hAnsi="宋体" w:eastAsia="宋体" w:cs="宋体"/>
          <w:b w:val="0"/>
          <w:color w:val="auto"/>
          <w:kern w:val="2"/>
          <w:sz w:val="21"/>
          <w:szCs w:val="22"/>
        </w:rPr>
      </w:pPr>
      <w:r>
        <w:rPr>
          <w:rStyle w:val="32"/>
          <w:rFonts w:hint="eastAsia" w:ascii="宋体" w:hAnsi="宋体" w:eastAsia="宋体" w:cs="宋体"/>
          <w:color w:val="auto"/>
        </w:rPr>
        <w:fldChar w:fldCharType="begin"/>
      </w:r>
      <w:r>
        <w:rPr>
          <w:rStyle w:val="32"/>
          <w:rFonts w:hint="eastAsia" w:ascii="宋体" w:hAnsi="宋体" w:eastAsia="宋体" w:cs="宋体"/>
          <w:color w:val="auto"/>
        </w:rPr>
        <w:instrText xml:space="preserve"> TOC \o "1-3" \h \z \u </w:instrText>
      </w:r>
      <w:r>
        <w:rPr>
          <w:rStyle w:val="32"/>
          <w:rFonts w:hint="eastAsia" w:ascii="宋体" w:hAnsi="宋体" w:eastAsia="宋体" w:cs="宋体"/>
          <w:color w:val="auto"/>
        </w:rPr>
        <w:fldChar w:fldCharType="separate"/>
      </w: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"_Toc129763144" </w:instrText>
      </w:r>
      <w:r>
        <w:rPr>
          <w:rFonts w:hint="eastAsia" w:ascii="宋体" w:hAnsi="宋体" w:eastAsia="宋体" w:cs="宋体"/>
          <w:color w:val="auto"/>
        </w:rPr>
        <w:fldChar w:fldCharType="separate"/>
      </w:r>
      <w:r>
        <w:rPr>
          <w:rStyle w:val="32"/>
          <w:rFonts w:hint="eastAsia" w:ascii="宋体" w:hAnsi="宋体" w:eastAsia="宋体" w:cs="宋体"/>
          <w:color w:val="auto"/>
        </w:rPr>
        <w:t>第一章比选公告</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_Toc129763144 \h </w:instrText>
      </w:r>
      <w:r>
        <w:rPr>
          <w:rFonts w:hint="eastAsia" w:ascii="宋体" w:hAnsi="宋体" w:eastAsia="宋体" w:cs="宋体"/>
          <w:color w:val="auto"/>
        </w:rPr>
        <w:fldChar w:fldCharType="separate"/>
      </w:r>
      <w:r>
        <w:rPr>
          <w:rFonts w:hint="eastAsia" w:ascii="宋体" w:hAnsi="宋体" w:eastAsia="宋体" w:cs="宋体"/>
          <w:color w:val="auto"/>
        </w:rPr>
        <w:t>2</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1"/>
        <w:rPr>
          <w:rFonts w:hint="eastAsia" w:ascii="宋体" w:hAnsi="宋体" w:eastAsia="宋体" w:cs="宋体"/>
          <w:b w:val="0"/>
          <w:color w:val="auto"/>
          <w:kern w:val="2"/>
          <w:sz w:val="21"/>
          <w:szCs w:val="2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"_Toc129763146" </w:instrText>
      </w:r>
      <w:r>
        <w:rPr>
          <w:rFonts w:hint="eastAsia" w:ascii="宋体" w:hAnsi="宋体" w:eastAsia="宋体" w:cs="宋体"/>
          <w:color w:val="auto"/>
        </w:rPr>
        <w:fldChar w:fldCharType="separate"/>
      </w:r>
      <w:r>
        <w:rPr>
          <w:rStyle w:val="32"/>
          <w:rFonts w:hint="eastAsia" w:ascii="宋体" w:hAnsi="宋体" w:eastAsia="宋体" w:cs="宋体"/>
          <w:color w:val="auto"/>
        </w:rPr>
        <w:t>第二章参选人须知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_Toc129763146 \h </w:instrText>
      </w:r>
      <w:r>
        <w:rPr>
          <w:rFonts w:hint="eastAsia" w:ascii="宋体" w:hAnsi="宋体" w:eastAsia="宋体" w:cs="宋体"/>
          <w:color w:val="auto"/>
        </w:rPr>
        <w:fldChar w:fldCharType="separate"/>
      </w:r>
      <w:r>
        <w:rPr>
          <w:rFonts w:hint="eastAsia" w:ascii="宋体" w:hAnsi="宋体" w:eastAsia="宋体" w:cs="宋体"/>
          <w:color w:val="auto"/>
        </w:rPr>
        <w:t>5</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3"/>
        <w:tabs>
          <w:tab w:val="right" w:leader="dot" w:pos="9170"/>
        </w:tabs>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"_Toc129763147" </w:instrText>
      </w:r>
      <w:r>
        <w:rPr>
          <w:rFonts w:hint="eastAsia" w:ascii="宋体" w:hAnsi="宋体" w:eastAsia="宋体" w:cs="宋体"/>
          <w:color w:val="auto"/>
        </w:rPr>
        <w:fldChar w:fldCharType="separate"/>
      </w:r>
      <w:r>
        <w:rPr>
          <w:rStyle w:val="32"/>
          <w:rFonts w:hint="eastAsia" w:ascii="宋体" w:hAnsi="宋体" w:eastAsia="宋体" w:cs="宋体"/>
          <w:color w:val="auto"/>
        </w:rPr>
        <w:t>一、总则</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_Toc129763147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3"/>
        <w:tabs>
          <w:tab w:val="right" w:leader="dot" w:pos="9170"/>
        </w:tabs>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"_Toc129763148" </w:instrText>
      </w:r>
      <w:r>
        <w:rPr>
          <w:rFonts w:hint="eastAsia" w:ascii="宋体" w:hAnsi="宋体" w:eastAsia="宋体" w:cs="宋体"/>
          <w:color w:val="auto"/>
        </w:rPr>
        <w:fldChar w:fldCharType="separate"/>
      </w:r>
      <w:r>
        <w:rPr>
          <w:rStyle w:val="32"/>
          <w:rFonts w:hint="eastAsia" w:ascii="宋体" w:hAnsi="宋体" w:eastAsia="宋体" w:cs="宋体"/>
          <w:color w:val="auto"/>
        </w:rPr>
        <w:t>二、比选文件说明</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_Toc129763148 \h </w:instrText>
      </w:r>
      <w:r>
        <w:rPr>
          <w:rFonts w:hint="eastAsia" w:ascii="宋体" w:hAnsi="宋体" w:eastAsia="宋体" w:cs="宋体"/>
          <w:color w:val="auto"/>
        </w:rPr>
        <w:fldChar w:fldCharType="separate"/>
      </w:r>
      <w:r>
        <w:rPr>
          <w:rFonts w:hint="eastAsia" w:ascii="宋体" w:hAnsi="宋体" w:eastAsia="宋体" w:cs="宋体"/>
          <w:color w:val="auto"/>
        </w:rPr>
        <w:t>8</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3"/>
        <w:tabs>
          <w:tab w:val="right" w:leader="dot" w:pos="9170"/>
        </w:tabs>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"_Toc129763149" </w:instrText>
      </w:r>
      <w:r>
        <w:rPr>
          <w:rFonts w:hint="eastAsia" w:ascii="宋体" w:hAnsi="宋体" w:eastAsia="宋体" w:cs="宋体"/>
          <w:color w:val="auto"/>
        </w:rPr>
        <w:fldChar w:fldCharType="separate"/>
      </w:r>
      <w:r>
        <w:rPr>
          <w:rStyle w:val="32"/>
          <w:rFonts w:hint="eastAsia" w:ascii="宋体" w:hAnsi="宋体" w:eastAsia="宋体" w:cs="宋体"/>
          <w:color w:val="auto"/>
        </w:rPr>
        <w:t>三、比选响应文件要求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_Toc129763149 \h </w:instrText>
      </w:r>
      <w:r>
        <w:rPr>
          <w:rFonts w:hint="eastAsia" w:ascii="宋体" w:hAnsi="宋体" w:eastAsia="宋体" w:cs="宋体"/>
          <w:color w:val="auto"/>
        </w:rPr>
        <w:fldChar w:fldCharType="separate"/>
      </w:r>
      <w:r>
        <w:rPr>
          <w:rFonts w:hint="eastAsia" w:ascii="宋体" w:hAnsi="宋体" w:eastAsia="宋体" w:cs="宋体"/>
          <w:color w:val="auto"/>
        </w:rPr>
        <w:t>9</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3"/>
        <w:tabs>
          <w:tab w:val="right" w:leader="dot" w:pos="9170"/>
        </w:tabs>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"_Toc129763150" </w:instrText>
      </w:r>
      <w:r>
        <w:rPr>
          <w:rFonts w:hint="eastAsia" w:ascii="宋体" w:hAnsi="宋体" w:eastAsia="宋体" w:cs="宋体"/>
          <w:color w:val="auto"/>
        </w:rPr>
        <w:fldChar w:fldCharType="separate"/>
      </w:r>
      <w:r>
        <w:rPr>
          <w:rStyle w:val="32"/>
          <w:rFonts w:hint="eastAsia" w:ascii="宋体" w:hAnsi="宋体" w:eastAsia="宋体" w:cs="宋体"/>
          <w:color w:val="auto"/>
        </w:rPr>
        <w:t>四、比选响应文件的递交</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_Toc129763150 \h </w:instrText>
      </w:r>
      <w:r>
        <w:rPr>
          <w:rFonts w:hint="eastAsia" w:ascii="宋体" w:hAnsi="宋体" w:eastAsia="宋体" w:cs="宋体"/>
          <w:color w:val="auto"/>
        </w:rPr>
        <w:fldChar w:fldCharType="separate"/>
      </w:r>
      <w:r>
        <w:rPr>
          <w:rFonts w:hint="eastAsia" w:ascii="宋体" w:hAnsi="宋体" w:eastAsia="宋体" w:cs="宋体"/>
          <w:color w:val="auto"/>
        </w:rPr>
        <w:t>11</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3"/>
        <w:tabs>
          <w:tab w:val="right" w:leader="dot" w:pos="9170"/>
        </w:tabs>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"_Toc129763151" </w:instrText>
      </w:r>
      <w:r>
        <w:rPr>
          <w:rFonts w:hint="eastAsia" w:ascii="宋体" w:hAnsi="宋体" w:eastAsia="宋体" w:cs="宋体"/>
          <w:color w:val="auto"/>
        </w:rPr>
        <w:fldChar w:fldCharType="separate"/>
      </w:r>
      <w:r>
        <w:rPr>
          <w:rStyle w:val="32"/>
          <w:rFonts w:hint="eastAsia" w:ascii="宋体" w:hAnsi="宋体" w:eastAsia="宋体" w:cs="宋体"/>
          <w:color w:val="auto"/>
        </w:rPr>
        <w:t>五、比选</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_Toc129763151 \h </w:instrText>
      </w:r>
      <w:r>
        <w:rPr>
          <w:rFonts w:hint="eastAsia" w:ascii="宋体" w:hAnsi="宋体" w:eastAsia="宋体" w:cs="宋体"/>
          <w:color w:val="auto"/>
        </w:rPr>
        <w:fldChar w:fldCharType="separate"/>
      </w:r>
      <w:r>
        <w:rPr>
          <w:rFonts w:hint="eastAsia" w:ascii="宋体" w:hAnsi="宋体" w:eastAsia="宋体" w:cs="宋体"/>
          <w:color w:val="auto"/>
        </w:rPr>
        <w:t>12</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1"/>
        <w:rPr>
          <w:rFonts w:hint="eastAsia" w:ascii="宋体" w:hAnsi="宋体" w:eastAsia="宋体" w:cs="宋体"/>
          <w:b w:val="0"/>
          <w:color w:val="auto"/>
          <w:kern w:val="2"/>
          <w:sz w:val="21"/>
          <w:szCs w:val="2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"_Toc129763152" </w:instrText>
      </w:r>
      <w:r>
        <w:rPr>
          <w:rFonts w:hint="eastAsia" w:ascii="宋体" w:hAnsi="宋体" w:eastAsia="宋体" w:cs="宋体"/>
          <w:color w:val="auto"/>
        </w:rPr>
        <w:fldChar w:fldCharType="separate"/>
      </w:r>
      <w:r>
        <w:rPr>
          <w:rStyle w:val="32"/>
          <w:rFonts w:hint="eastAsia" w:ascii="宋体" w:hAnsi="宋体" w:eastAsia="宋体" w:cs="宋体"/>
          <w:color w:val="auto"/>
        </w:rPr>
        <w:t>第三章比选响应文件格式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_Toc129763152 \h </w:instrText>
      </w:r>
      <w:r>
        <w:rPr>
          <w:rFonts w:hint="eastAsia" w:ascii="宋体" w:hAnsi="宋体" w:eastAsia="宋体" w:cs="宋体"/>
          <w:color w:val="auto"/>
        </w:rPr>
        <w:fldChar w:fldCharType="separate"/>
      </w:r>
      <w:r>
        <w:rPr>
          <w:rFonts w:hint="eastAsia" w:ascii="宋体" w:hAnsi="宋体" w:eastAsia="宋体" w:cs="宋体"/>
          <w:color w:val="auto"/>
        </w:rPr>
        <w:t>13</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3"/>
        <w:tabs>
          <w:tab w:val="right" w:leader="dot" w:pos="9170"/>
        </w:tabs>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"_Toc129763153" </w:instrText>
      </w:r>
      <w:r>
        <w:rPr>
          <w:rFonts w:hint="eastAsia" w:ascii="宋体" w:hAnsi="宋体" w:eastAsia="宋体" w:cs="宋体"/>
          <w:color w:val="auto"/>
        </w:rPr>
        <w:fldChar w:fldCharType="separate"/>
      </w:r>
      <w:r>
        <w:rPr>
          <w:rStyle w:val="32"/>
          <w:rFonts w:hint="eastAsia" w:ascii="宋体" w:hAnsi="宋体" w:eastAsia="宋体" w:cs="宋体"/>
          <w:color w:val="auto"/>
        </w:rPr>
        <w:t>一、参选函</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_Toc129763153 \h </w:instrText>
      </w:r>
      <w:r>
        <w:rPr>
          <w:rFonts w:hint="eastAsia" w:ascii="宋体" w:hAnsi="宋体" w:eastAsia="宋体" w:cs="宋体"/>
          <w:color w:val="auto"/>
        </w:rPr>
        <w:fldChar w:fldCharType="separate"/>
      </w:r>
      <w:r>
        <w:rPr>
          <w:rFonts w:hint="eastAsia" w:ascii="宋体" w:hAnsi="宋体" w:eastAsia="宋体" w:cs="宋体"/>
          <w:color w:val="auto"/>
        </w:rPr>
        <w:t>14</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3"/>
        <w:tabs>
          <w:tab w:val="right" w:leader="dot" w:pos="9170"/>
        </w:tabs>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"_Toc129763154" </w:instrText>
      </w:r>
      <w:r>
        <w:rPr>
          <w:rFonts w:hint="eastAsia" w:ascii="宋体" w:hAnsi="宋体" w:eastAsia="宋体" w:cs="宋体"/>
          <w:color w:val="auto"/>
        </w:rPr>
        <w:fldChar w:fldCharType="separate"/>
      </w:r>
      <w:r>
        <w:rPr>
          <w:rStyle w:val="32"/>
          <w:rFonts w:hint="eastAsia" w:ascii="宋体" w:hAnsi="宋体" w:eastAsia="宋体" w:cs="宋体"/>
          <w:color w:val="auto"/>
        </w:rPr>
        <w:t>二、法定代表人或负责人身份证明</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_Toc129763154 \h </w:instrText>
      </w:r>
      <w:r>
        <w:rPr>
          <w:rFonts w:hint="eastAsia" w:ascii="宋体" w:hAnsi="宋体" w:eastAsia="宋体" w:cs="宋体"/>
          <w:color w:val="auto"/>
        </w:rPr>
        <w:fldChar w:fldCharType="separate"/>
      </w:r>
      <w:r>
        <w:rPr>
          <w:rFonts w:hint="eastAsia" w:ascii="宋体" w:hAnsi="宋体" w:eastAsia="宋体" w:cs="宋体"/>
          <w:color w:val="auto"/>
        </w:rPr>
        <w:t>15</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3"/>
        <w:tabs>
          <w:tab w:val="right" w:leader="dot" w:pos="9170"/>
        </w:tabs>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"_Toc129763155" </w:instrText>
      </w:r>
      <w:r>
        <w:rPr>
          <w:rFonts w:hint="eastAsia" w:ascii="宋体" w:hAnsi="宋体" w:eastAsia="宋体" w:cs="宋体"/>
          <w:color w:val="auto"/>
        </w:rPr>
        <w:fldChar w:fldCharType="separate"/>
      </w:r>
      <w:r>
        <w:rPr>
          <w:rStyle w:val="32"/>
          <w:rFonts w:hint="eastAsia" w:ascii="宋体" w:hAnsi="宋体" w:eastAsia="宋体" w:cs="宋体"/>
          <w:color w:val="auto"/>
        </w:rPr>
        <w:t>三、授权委托书</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_Toc129763155 \h </w:instrText>
      </w:r>
      <w:r>
        <w:rPr>
          <w:rFonts w:hint="eastAsia" w:ascii="宋体" w:hAnsi="宋体" w:eastAsia="宋体" w:cs="宋体"/>
          <w:color w:val="auto"/>
        </w:rPr>
        <w:fldChar w:fldCharType="separate"/>
      </w:r>
      <w:r>
        <w:rPr>
          <w:rFonts w:hint="eastAsia" w:ascii="宋体" w:hAnsi="宋体" w:eastAsia="宋体" w:cs="宋体"/>
          <w:color w:val="auto"/>
        </w:rPr>
        <w:t>16</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3"/>
        <w:tabs>
          <w:tab w:val="right" w:leader="dot" w:pos="9170"/>
        </w:tabs>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"_Toc129763156" </w:instrText>
      </w:r>
      <w:r>
        <w:rPr>
          <w:rFonts w:hint="eastAsia" w:ascii="宋体" w:hAnsi="宋体" w:eastAsia="宋体" w:cs="宋体"/>
          <w:color w:val="auto"/>
        </w:rPr>
        <w:fldChar w:fldCharType="separate"/>
      </w:r>
      <w:r>
        <w:rPr>
          <w:rStyle w:val="32"/>
          <w:rFonts w:hint="eastAsia" w:ascii="宋体" w:hAnsi="宋体" w:eastAsia="宋体" w:cs="宋体"/>
          <w:color w:val="auto"/>
        </w:rPr>
        <w:t>四、服务承诺及报价</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_Toc129763156 \h </w:instrText>
      </w:r>
      <w:r>
        <w:rPr>
          <w:rFonts w:hint="eastAsia" w:ascii="宋体" w:hAnsi="宋体" w:eastAsia="宋体" w:cs="宋体"/>
          <w:color w:val="auto"/>
        </w:rPr>
        <w:fldChar w:fldCharType="separate"/>
      </w:r>
      <w:r>
        <w:rPr>
          <w:rFonts w:hint="eastAsia" w:ascii="宋体" w:hAnsi="宋体" w:eastAsia="宋体" w:cs="宋体"/>
          <w:color w:val="auto"/>
        </w:rPr>
        <w:t>17</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3"/>
        <w:tabs>
          <w:tab w:val="right" w:leader="dot" w:pos="9170"/>
        </w:tabs>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"_Toc129763157" </w:instrText>
      </w:r>
      <w:r>
        <w:rPr>
          <w:rFonts w:hint="eastAsia" w:ascii="宋体" w:hAnsi="宋体" w:eastAsia="宋体" w:cs="宋体"/>
          <w:color w:val="auto"/>
        </w:rPr>
        <w:fldChar w:fldCharType="separate"/>
      </w:r>
      <w:r>
        <w:rPr>
          <w:rStyle w:val="32"/>
          <w:rFonts w:hint="eastAsia" w:ascii="宋体" w:hAnsi="宋体" w:eastAsia="宋体" w:cs="宋体"/>
          <w:color w:val="auto"/>
        </w:rPr>
        <w:t>五、比选资格证明文件构成</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_Toc129763157 \h </w:instrText>
      </w:r>
      <w:r>
        <w:rPr>
          <w:rFonts w:hint="eastAsia" w:ascii="宋体" w:hAnsi="宋体" w:eastAsia="宋体" w:cs="宋体"/>
          <w:color w:val="auto"/>
        </w:rPr>
        <w:fldChar w:fldCharType="separate"/>
      </w:r>
      <w:r>
        <w:rPr>
          <w:rFonts w:hint="eastAsia" w:ascii="宋体" w:hAnsi="宋体" w:eastAsia="宋体" w:cs="宋体"/>
          <w:color w:val="auto"/>
        </w:rPr>
        <w:t>18</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3"/>
        <w:tabs>
          <w:tab w:val="right" w:leader="dot" w:pos="9170"/>
        </w:tabs>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"_Toc129763158" </w:instrText>
      </w:r>
      <w:r>
        <w:rPr>
          <w:rFonts w:hint="eastAsia" w:ascii="宋体" w:hAnsi="宋体" w:eastAsia="宋体" w:cs="宋体"/>
          <w:color w:val="auto"/>
        </w:rPr>
        <w:fldChar w:fldCharType="separate"/>
      </w:r>
      <w:r>
        <w:rPr>
          <w:rStyle w:val="32"/>
          <w:rFonts w:hint="eastAsia" w:ascii="宋体" w:hAnsi="宋体" w:eastAsia="宋体" w:cs="宋体"/>
          <w:color w:val="auto"/>
        </w:rPr>
        <w:t>六、企业简介</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_Toc129763158 \h </w:instrText>
      </w:r>
      <w:r>
        <w:rPr>
          <w:rFonts w:hint="eastAsia" w:ascii="宋体" w:hAnsi="宋体" w:eastAsia="宋体" w:cs="宋体"/>
          <w:color w:val="auto"/>
        </w:rPr>
        <w:fldChar w:fldCharType="separate"/>
      </w:r>
      <w:r>
        <w:rPr>
          <w:rFonts w:hint="eastAsia" w:ascii="宋体" w:hAnsi="宋体" w:eastAsia="宋体" w:cs="宋体"/>
          <w:color w:val="auto"/>
        </w:rPr>
        <w:t>19</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3"/>
        <w:tabs>
          <w:tab w:val="right" w:leader="dot" w:pos="9170"/>
        </w:tabs>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"_Toc129763159" </w:instrText>
      </w:r>
      <w:r>
        <w:rPr>
          <w:rFonts w:hint="eastAsia" w:ascii="宋体" w:hAnsi="宋体" w:eastAsia="宋体" w:cs="宋体"/>
          <w:color w:val="auto"/>
        </w:rPr>
        <w:fldChar w:fldCharType="separate"/>
      </w:r>
      <w:r>
        <w:rPr>
          <w:rStyle w:val="32"/>
          <w:rFonts w:hint="eastAsia" w:ascii="宋体" w:hAnsi="宋体" w:eastAsia="宋体" w:cs="宋体"/>
          <w:color w:val="auto"/>
        </w:rPr>
        <w:t>七、服务方案</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_Toc129763159 \h </w:instrText>
      </w:r>
      <w:r>
        <w:rPr>
          <w:rFonts w:hint="eastAsia" w:ascii="宋体" w:hAnsi="宋体" w:eastAsia="宋体" w:cs="宋体"/>
          <w:color w:val="auto"/>
        </w:rPr>
        <w:fldChar w:fldCharType="separate"/>
      </w:r>
      <w:r>
        <w:rPr>
          <w:rFonts w:hint="eastAsia" w:ascii="宋体" w:hAnsi="宋体" w:eastAsia="宋体" w:cs="宋体"/>
          <w:color w:val="auto"/>
        </w:rPr>
        <w:t>20</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3"/>
        <w:tabs>
          <w:tab w:val="right" w:leader="dot" w:pos="9170"/>
        </w:tabs>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"_Toc129763160" </w:instrText>
      </w:r>
      <w:r>
        <w:rPr>
          <w:rFonts w:hint="eastAsia" w:ascii="宋体" w:hAnsi="宋体" w:eastAsia="宋体" w:cs="宋体"/>
          <w:color w:val="auto"/>
        </w:rPr>
        <w:fldChar w:fldCharType="separate"/>
      </w:r>
      <w:r>
        <w:rPr>
          <w:rStyle w:val="32"/>
          <w:rFonts w:hint="eastAsia" w:ascii="宋体" w:hAnsi="宋体" w:eastAsia="宋体" w:cs="宋体"/>
          <w:color w:val="auto"/>
        </w:rPr>
        <w:t>八、联合体协议（如有）</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_Toc129763160 \h </w:instrText>
      </w:r>
      <w:r>
        <w:rPr>
          <w:rFonts w:hint="eastAsia" w:ascii="宋体" w:hAnsi="宋体" w:eastAsia="宋体" w:cs="宋体"/>
          <w:color w:val="auto"/>
        </w:rPr>
        <w:fldChar w:fldCharType="separate"/>
      </w:r>
      <w:r>
        <w:rPr>
          <w:rFonts w:hint="eastAsia" w:ascii="宋体" w:hAnsi="宋体" w:eastAsia="宋体" w:cs="宋体"/>
          <w:color w:val="auto"/>
        </w:rPr>
        <w:t>21</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1"/>
        <w:rPr>
          <w:rFonts w:hint="eastAsia" w:ascii="宋体" w:hAnsi="宋体" w:eastAsia="宋体" w:cs="宋体"/>
          <w:b w:val="0"/>
          <w:color w:val="auto"/>
          <w:kern w:val="2"/>
          <w:sz w:val="21"/>
          <w:szCs w:val="2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"_Toc129763161" </w:instrText>
      </w:r>
      <w:r>
        <w:rPr>
          <w:rFonts w:hint="eastAsia" w:ascii="宋体" w:hAnsi="宋体" w:eastAsia="宋体" w:cs="宋体"/>
          <w:color w:val="auto"/>
        </w:rPr>
        <w:fldChar w:fldCharType="separate"/>
      </w:r>
      <w:r>
        <w:rPr>
          <w:rStyle w:val="32"/>
          <w:rFonts w:hint="eastAsia" w:ascii="宋体" w:hAnsi="宋体" w:eastAsia="宋体" w:cs="宋体"/>
          <w:color w:val="auto"/>
        </w:rPr>
        <w:t>第四章评选办法</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_Toc129763161 \h </w:instrText>
      </w:r>
      <w:r>
        <w:rPr>
          <w:rFonts w:hint="eastAsia" w:ascii="宋体" w:hAnsi="宋体" w:eastAsia="宋体" w:cs="宋体"/>
          <w:color w:val="auto"/>
        </w:rPr>
        <w:fldChar w:fldCharType="separate"/>
      </w:r>
      <w:r>
        <w:rPr>
          <w:rFonts w:hint="eastAsia" w:ascii="宋体" w:hAnsi="宋体" w:eastAsia="宋体" w:cs="宋体"/>
          <w:color w:val="auto"/>
        </w:rPr>
        <w:t>22</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1"/>
        <w:rPr>
          <w:rFonts w:hint="eastAsia" w:ascii="宋体" w:hAnsi="宋体" w:eastAsia="宋体" w:cs="宋体"/>
          <w:b w:val="0"/>
          <w:color w:val="auto"/>
          <w:kern w:val="2"/>
          <w:sz w:val="21"/>
          <w:szCs w:val="2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"_Toc129763163" </w:instrText>
      </w:r>
      <w:r>
        <w:rPr>
          <w:rFonts w:hint="eastAsia" w:ascii="宋体" w:hAnsi="宋体" w:eastAsia="宋体" w:cs="宋体"/>
          <w:color w:val="auto"/>
        </w:rPr>
        <w:fldChar w:fldCharType="separate"/>
      </w:r>
      <w:r>
        <w:rPr>
          <w:rStyle w:val="32"/>
          <w:rFonts w:hint="eastAsia" w:ascii="宋体" w:hAnsi="宋体" w:eastAsia="宋体" w:cs="宋体"/>
          <w:color w:val="auto"/>
        </w:rPr>
        <w:t>第五章其他事项声明</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_Toc129763163 \h </w:instrText>
      </w:r>
      <w:r>
        <w:rPr>
          <w:rFonts w:hint="eastAsia" w:ascii="宋体" w:hAnsi="宋体" w:eastAsia="宋体" w:cs="宋体"/>
          <w:color w:val="auto"/>
        </w:rPr>
        <w:fldChar w:fldCharType="separate"/>
      </w:r>
      <w:r>
        <w:rPr>
          <w:rFonts w:hint="eastAsia" w:ascii="宋体" w:hAnsi="宋体" w:eastAsia="宋体" w:cs="宋体"/>
          <w:color w:val="auto"/>
        </w:rPr>
        <w:t>25</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1"/>
        <w:rPr>
          <w:rFonts w:hint="eastAsia" w:ascii="宋体" w:hAnsi="宋体" w:eastAsia="宋体" w:cs="宋体"/>
          <w:b w:val="0"/>
          <w:color w:val="auto"/>
          <w:kern w:val="2"/>
          <w:sz w:val="21"/>
          <w:szCs w:val="2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"_Toc129763164" </w:instrText>
      </w:r>
      <w:r>
        <w:rPr>
          <w:rFonts w:hint="eastAsia" w:ascii="宋体" w:hAnsi="宋体" w:eastAsia="宋体" w:cs="宋体"/>
          <w:color w:val="auto"/>
        </w:rPr>
        <w:fldChar w:fldCharType="separate"/>
      </w:r>
      <w:r>
        <w:rPr>
          <w:rStyle w:val="32"/>
          <w:rFonts w:hint="eastAsia" w:ascii="宋体" w:hAnsi="宋体" w:eastAsia="宋体" w:cs="宋体"/>
          <w:color w:val="auto"/>
        </w:rPr>
        <w:t>第六章项目需求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_Toc129763164 \h </w:instrText>
      </w:r>
      <w:r>
        <w:rPr>
          <w:rFonts w:hint="eastAsia" w:ascii="宋体" w:hAnsi="宋体" w:eastAsia="宋体" w:cs="宋体"/>
          <w:color w:val="auto"/>
        </w:rPr>
        <w:fldChar w:fldCharType="separate"/>
      </w:r>
      <w:r>
        <w:rPr>
          <w:rFonts w:hint="eastAsia" w:ascii="宋体" w:hAnsi="宋体" w:eastAsia="宋体" w:cs="宋体"/>
          <w:color w:val="auto"/>
        </w:rPr>
        <w:t>25</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3"/>
        <w:tabs>
          <w:tab w:val="right" w:leader="dot" w:pos="9170"/>
        </w:tabs>
        <w:rPr>
          <w:rFonts w:hint="eastAsia" w:ascii="宋体" w:hAnsi="宋体" w:eastAsia="宋体" w:cs="宋体"/>
          <w:color w:val="auto"/>
          <w:sz w:val="28"/>
          <w:szCs w:val="28"/>
        </w:rPr>
      </w:pPr>
      <w:r>
        <w:rPr>
          <w:rStyle w:val="32"/>
          <w:rFonts w:hint="eastAsia" w:ascii="宋体" w:hAnsi="宋体" w:eastAsia="宋体" w:cs="宋体"/>
          <w:color w:val="auto"/>
        </w:rPr>
        <w:fldChar w:fldCharType="end"/>
      </w:r>
    </w:p>
    <w:p>
      <w:pPr>
        <w:spacing w:line="600" w:lineRule="auto"/>
        <w:jc w:val="center"/>
        <w:rPr>
          <w:rFonts w:hint="eastAsia" w:ascii="宋体" w:hAnsi="宋体" w:eastAsia="宋体" w:cs="宋体"/>
          <w:b/>
          <w:color w:val="auto"/>
          <w:sz w:val="32"/>
          <w:szCs w:val="32"/>
        </w:rPr>
      </w:pPr>
    </w:p>
    <w:p>
      <w:pPr>
        <w:pStyle w:val="25"/>
        <w:rPr>
          <w:rFonts w:hint="eastAsia" w:ascii="宋体" w:hAnsi="宋体" w:eastAsia="宋体" w:cs="宋体"/>
          <w:bCs w:val="0"/>
          <w:color w:val="auto"/>
          <w:kern w:val="0"/>
          <w:szCs w:val="44"/>
        </w:rPr>
        <w:sectPr>
          <w:footerReference r:id="rId5" w:type="default"/>
          <w:pgSz w:w="11906" w:h="16838"/>
          <w:pgMar w:top="1418" w:right="1286" w:bottom="1418" w:left="1440" w:header="851" w:footer="992" w:gutter="0"/>
          <w:pgNumType w:start="1"/>
          <w:cols w:space="720" w:num="1"/>
        </w:sectPr>
      </w:pPr>
    </w:p>
    <w:p>
      <w:pPr>
        <w:pStyle w:val="25"/>
        <w:rPr>
          <w:rFonts w:hint="eastAsia" w:ascii="宋体" w:hAnsi="宋体" w:eastAsia="宋体" w:cs="宋体"/>
          <w:color w:val="auto"/>
        </w:rPr>
      </w:pPr>
      <w:bookmarkStart w:id="0" w:name="_Toc129763144"/>
      <w:r>
        <w:rPr>
          <w:rFonts w:hint="eastAsia" w:ascii="宋体" w:hAnsi="宋体" w:eastAsia="宋体" w:cs="宋体"/>
          <w:bCs w:val="0"/>
          <w:color w:val="auto"/>
          <w:kern w:val="0"/>
          <w:szCs w:val="44"/>
        </w:rPr>
        <w:t>第一章比选公告</w:t>
      </w:r>
      <w:bookmarkEnd w:id="0"/>
    </w:p>
    <w:p>
      <w:pPr>
        <w:widowControl/>
        <w:shd w:val="clear" w:color="auto" w:fill="FFFFFF"/>
        <w:spacing w:line="360" w:lineRule="auto"/>
        <w:jc w:val="center"/>
        <w:outlineLvl w:val="0"/>
        <w:rPr>
          <w:rFonts w:hint="eastAsia" w:ascii="宋体" w:hAnsi="宋体" w:eastAsia="宋体" w:cs="宋体"/>
          <w:b/>
          <w:bCs/>
          <w:color w:val="auto"/>
          <w:kern w:val="36"/>
          <w:sz w:val="24"/>
          <w:szCs w:val="24"/>
        </w:rPr>
      </w:pPr>
      <w:bookmarkStart w:id="1" w:name="_Toc129705761"/>
      <w:bookmarkStart w:id="2" w:name="_Toc129763145"/>
      <w:bookmarkStart w:id="3" w:name="_Toc104904081"/>
      <w:r>
        <w:rPr>
          <w:rFonts w:hint="eastAsia" w:ascii="宋体" w:hAnsi="宋体" w:eastAsia="宋体" w:cs="宋体"/>
          <w:b/>
          <w:bCs/>
          <w:color w:val="auto"/>
          <w:kern w:val="36"/>
          <w:sz w:val="28"/>
          <w:szCs w:val="28"/>
          <w:lang w:eastAsia="zh-CN"/>
        </w:rPr>
        <w:t>驻马店市发展投资集团有限公司选聘2023年公开发行短期融资券或超短期融资券主承销商项目</w:t>
      </w:r>
      <w:r>
        <w:rPr>
          <w:rFonts w:hint="eastAsia" w:ascii="宋体" w:hAnsi="宋体" w:eastAsia="宋体" w:cs="宋体"/>
          <w:b/>
          <w:bCs/>
          <w:color w:val="auto"/>
          <w:kern w:val="36"/>
          <w:sz w:val="28"/>
          <w:szCs w:val="28"/>
        </w:rPr>
        <w:t>比选公告</w:t>
      </w:r>
      <w:bookmarkEnd w:id="1"/>
      <w:bookmarkEnd w:id="2"/>
      <w:bookmarkEnd w:id="3"/>
    </w:p>
    <w:p>
      <w:pPr>
        <w:widowControl/>
        <w:shd w:val="clear" w:color="auto" w:fill="FFFFFF"/>
        <w:spacing w:line="360" w:lineRule="auto"/>
        <w:ind w:firstLine="48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为满足公司项目建设、偿还有息负债和补充流动性等资金需求，</w:t>
      </w:r>
      <w:r>
        <w:rPr>
          <w:rFonts w:hint="eastAsia" w:ascii="宋体" w:hAnsi="宋体" w:eastAsia="宋体" w:cs="宋体"/>
          <w:color w:val="auto"/>
          <w:kern w:val="0"/>
          <w:sz w:val="24"/>
          <w:szCs w:val="24"/>
          <w:lang w:eastAsia="zh-CN"/>
        </w:rPr>
        <w:t>驻马店市发展投资集团有限公司</w:t>
      </w:r>
      <w:r>
        <w:rPr>
          <w:rFonts w:hint="eastAsia" w:ascii="宋体" w:hAnsi="宋体" w:eastAsia="宋体" w:cs="宋体"/>
          <w:color w:val="auto"/>
          <w:kern w:val="0"/>
          <w:sz w:val="24"/>
          <w:szCs w:val="24"/>
        </w:rPr>
        <w:t>拟申请申报并发行不超过</w:t>
      </w:r>
      <w:r>
        <w:rPr>
          <w:rFonts w:hint="eastAsia" w:ascii="宋体" w:hAnsi="宋体" w:eastAsia="宋体" w:cs="宋体"/>
          <w:color w:val="auto"/>
          <w:kern w:val="0"/>
          <w:sz w:val="24"/>
          <w:szCs w:val="24"/>
          <w:lang w:val="en-US" w:eastAsia="zh-CN"/>
        </w:rPr>
        <w:t>10</w:t>
      </w:r>
      <w:r>
        <w:rPr>
          <w:rFonts w:hint="eastAsia" w:ascii="宋体" w:hAnsi="宋体" w:eastAsia="宋体" w:cs="宋体"/>
          <w:color w:val="auto"/>
          <w:kern w:val="0"/>
          <w:sz w:val="24"/>
          <w:szCs w:val="24"/>
        </w:rPr>
        <w:t>亿元短期融资券或超短期融资券。本着“公平、公开、公正”的原则，现决定采用公开比选的方式确定此次发行债券的</w:t>
      </w:r>
      <w:r>
        <w:rPr>
          <w:rFonts w:hint="eastAsia" w:ascii="宋体" w:hAnsi="宋体" w:eastAsia="宋体" w:cs="宋体"/>
          <w:color w:val="auto"/>
          <w:kern w:val="0"/>
          <w:sz w:val="24"/>
          <w:szCs w:val="24"/>
          <w:highlight w:val="none"/>
        </w:rPr>
        <w:t>承销商</w:t>
      </w:r>
      <w:r>
        <w:rPr>
          <w:rFonts w:hint="eastAsia" w:ascii="宋体" w:hAnsi="宋体" w:eastAsia="宋体" w:cs="宋体"/>
          <w:color w:val="auto"/>
          <w:kern w:val="0"/>
          <w:sz w:val="24"/>
          <w:szCs w:val="24"/>
        </w:rPr>
        <w:t>。</w:t>
      </w:r>
    </w:p>
    <w:p>
      <w:pPr>
        <w:widowControl/>
        <w:shd w:val="clear" w:color="auto" w:fill="FFFFFF"/>
        <w:spacing w:line="360" w:lineRule="auto"/>
        <w:jc w:val="left"/>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一、项目名称</w:t>
      </w:r>
    </w:p>
    <w:p>
      <w:pPr>
        <w:widowControl/>
        <w:shd w:val="clear" w:color="auto" w:fill="FFFFFF"/>
        <w:spacing w:line="360" w:lineRule="auto"/>
        <w:ind w:firstLine="48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驻马店市发展投资集团有限公司选聘2023年公开发行短期融资券或超短期融资券主承销商项目</w:t>
      </w:r>
    </w:p>
    <w:p>
      <w:pPr>
        <w:widowControl/>
        <w:shd w:val="clear" w:color="auto" w:fill="FFFFFF"/>
        <w:spacing w:line="360" w:lineRule="auto"/>
        <w:jc w:val="left"/>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二、比选范围</w:t>
      </w:r>
    </w:p>
    <w:p>
      <w:pPr>
        <w:widowControl/>
        <w:shd w:val="clear" w:color="auto" w:fill="FFFFFF"/>
        <w:spacing w:line="360" w:lineRule="auto"/>
        <w:ind w:firstLine="480"/>
        <w:jc w:val="left"/>
        <w:rPr>
          <w:rFonts w:hint="eastAsia" w:ascii="宋体" w:hAnsi="宋体" w:eastAsia="宋体" w:cs="宋体"/>
          <w:color w:val="auto"/>
          <w:kern w:val="0"/>
          <w:sz w:val="24"/>
          <w:szCs w:val="24"/>
        </w:rPr>
      </w:pPr>
      <w:r>
        <w:rPr>
          <w:rFonts w:hint="eastAsia" w:ascii="宋体" w:hAnsi="宋体" w:eastAsia="宋体" w:cs="宋体"/>
          <w:color w:val="auto"/>
          <w:sz w:val="24"/>
          <w:szCs w:val="24"/>
          <w:lang w:eastAsia="zh-CN"/>
        </w:rPr>
        <w:t>本次发行债券的相关工作（包括但不限于发行方案编制、报批、后续的发行承销、登记备案及债券本息的代理兑付等）</w:t>
      </w:r>
      <w:r>
        <w:rPr>
          <w:rFonts w:hint="eastAsia" w:ascii="宋体" w:hAnsi="宋体" w:eastAsia="宋体" w:cs="宋体"/>
          <w:color w:val="auto"/>
          <w:sz w:val="24"/>
          <w:szCs w:val="24"/>
        </w:rPr>
        <w:t>。</w:t>
      </w:r>
    </w:p>
    <w:p>
      <w:pPr>
        <w:widowControl/>
        <w:shd w:val="clear" w:color="auto" w:fill="FFFFFF"/>
        <w:spacing w:line="360" w:lineRule="auto"/>
        <w:jc w:val="left"/>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三、申报额度及期限</w:t>
      </w:r>
    </w:p>
    <w:p>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（一）金额：不超过10亿元</w:t>
      </w:r>
      <w:r>
        <w:rPr>
          <w:rFonts w:hint="eastAsia" w:ascii="宋体" w:hAnsi="宋体" w:eastAsia="宋体" w:cs="宋体"/>
          <w:color w:val="auto"/>
          <w:sz w:val="24"/>
          <w:szCs w:val="24"/>
          <w:lang w:eastAsia="zh-CN"/>
        </w:rPr>
        <w:t>；</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（二）期限：不超过1年；</w:t>
      </w:r>
    </w:p>
    <w:p>
      <w:pPr>
        <w:widowControl/>
        <w:shd w:val="clear" w:color="auto" w:fill="FFFFFF"/>
        <w:spacing w:line="360" w:lineRule="auto"/>
        <w:ind w:firstLine="48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（三）承销方式：</w:t>
      </w:r>
      <w:r>
        <w:rPr>
          <w:rFonts w:hint="eastAsia" w:ascii="宋体" w:hAnsi="宋体" w:eastAsia="宋体" w:cs="宋体"/>
          <w:color w:val="auto"/>
          <w:sz w:val="24"/>
          <w:szCs w:val="24"/>
          <w:highlight w:val="none"/>
          <w:lang w:eastAsia="zh-CN"/>
        </w:rPr>
        <w:t>余额包销</w:t>
      </w:r>
      <w:r>
        <w:rPr>
          <w:rFonts w:hint="eastAsia" w:ascii="宋体" w:hAnsi="宋体" w:eastAsia="宋体" w:cs="宋体"/>
          <w:color w:val="auto"/>
          <w:sz w:val="24"/>
          <w:szCs w:val="24"/>
          <w:highlight w:val="none"/>
        </w:rPr>
        <w:t>。</w:t>
      </w:r>
    </w:p>
    <w:p>
      <w:pPr>
        <w:widowControl/>
        <w:shd w:val="clear" w:color="auto" w:fill="FFFFFF"/>
        <w:spacing w:line="360" w:lineRule="auto"/>
        <w:jc w:val="left"/>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四、服务周期</w:t>
      </w:r>
    </w:p>
    <w:p>
      <w:pPr>
        <w:widowControl/>
        <w:shd w:val="clear" w:color="auto" w:fill="FFFFFF"/>
        <w:spacing w:line="360" w:lineRule="auto"/>
        <w:ind w:firstLine="48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自合同签订至债券本息偿付结束。</w:t>
      </w:r>
    </w:p>
    <w:p>
      <w:pPr>
        <w:widowControl/>
        <w:shd w:val="clear" w:color="auto" w:fill="FFFFFF"/>
        <w:spacing w:line="360" w:lineRule="auto"/>
        <w:jc w:val="left"/>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五、报名及比选文件领取</w:t>
      </w:r>
    </w:p>
    <w:p>
      <w:pPr>
        <w:widowControl/>
        <w:shd w:val="clear" w:color="auto" w:fill="FFFFFF"/>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1、报名及领取比选文件时间：从2023年</w:t>
      </w:r>
      <w:r>
        <w:rPr>
          <w:rFonts w:hint="eastAsia" w:ascii="宋体" w:hAnsi="宋体" w:eastAsia="宋体" w:cs="宋体"/>
          <w:color w:val="auto"/>
          <w:kern w:val="0"/>
          <w:sz w:val="24"/>
          <w:szCs w:val="24"/>
          <w:lang w:val="en-US" w:eastAsia="zh-CN"/>
        </w:rPr>
        <w:t>7</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lang w:val="en-US" w:eastAsia="zh-CN"/>
        </w:rPr>
        <w:t>21</w:t>
      </w:r>
      <w:r>
        <w:rPr>
          <w:rFonts w:hint="eastAsia" w:ascii="宋体" w:hAnsi="宋体" w:eastAsia="宋体" w:cs="宋体"/>
          <w:color w:val="auto"/>
          <w:kern w:val="0"/>
          <w:sz w:val="24"/>
          <w:szCs w:val="24"/>
        </w:rPr>
        <w:t>日起至2023年</w:t>
      </w:r>
      <w:r>
        <w:rPr>
          <w:rFonts w:hint="eastAsia" w:ascii="宋体" w:hAnsi="宋体" w:eastAsia="宋体" w:cs="宋体"/>
          <w:color w:val="auto"/>
          <w:kern w:val="0"/>
          <w:sz w:val="24"/>
          <w:szCs w:val="24"/>
          <w:lang w:val="en-US" w:eastAsia="zh-CN"/>
        </w:rPr>
        <w:t>7</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lang w:val="en-US" w:eastAsia="zh-CN"/>
        </w:rPr>
        <w:t>26</w:t>
      </w:r>
      <w:r>
        <w:rPr>
          <w:rFonts w:hint="eastAsia" w:ascii="宋体" w:hAnsi="宋体" w:eastAsia="宋体" w:cs="宋体"/>
          <w:color w:val="auto"/>
          <w:kern w:val="0"/>
          <w:sz w:val="24"/>
          <w:szCs w:val="24"/>
        </w:rPr>
        <w:t>日，上午8:00-1</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0</w:t>
      </w:r>
      <w:r>
        <w:rPr>
          <w:rFonts w:hint="eastAsia" w:ascii="宋体" w:hAnsi="宋体" w:eastAsia="宋体" w:cs="宋体"/>
          <w:color w:val="auto"/>
          <w:kern w:val="0"/>
          <w:sz w:val="24"/>
          <w:szCs w:val="24"/>
        </w:rPr>
        <w:t>0，下午</w:t>
      </w:r>
      <w:r>
        <w:rPr>
          <w:rFonts w:hint="eastAsia" w:ascii="宋体" w:hAnsi="宋体" w:eastAsia="宋体" w:cs="宋体"/>
          <w:color w:val="auto"/>
          <w:kern w:val="0"/>
          <w:sz w:val="24"/>
          <w:szCs w:val="24"/>
          <w:lang w:val="en-US" w:eastAsia="zh-CN"/>
        </w:rPr>
        <w:t>15</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0</w:t>
      </w:r>
      <w:r>
        <w:rPr>
          <w:rFonts w:hint="eastAsia" w:ascii="宋体" w:hAnsi="宋体" w:eastAsia="宋体" w:cs="宋体"/>
          <w:color w:val="auto"/>
          <w:kern w:val="0"/>
          <w:sz w:val="24"/>
          <w:szCs w:val="24"/>
        </w:rPr>
        <w:t>0-1</w:t>
      </w:r>
      <w:r>
        <w:rPr>
          <w:rFonts w:hint="eastAsia" w:ascii="宋体" w:hAnsi="宋体" w:eastAsia="宋体" w:cs="宋体"/>
          <w:color w:val="auto"/>
          <w:kern w:val="0"/>
          <w:sz w:val="24"/>
          <w:szCs w:val="24"/>
          <w:lang w:val="en-US" w:eastAsia="zh-CN"/>
        </w:rPr>
        <w:t>8</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0</w:t>
      </w:r>
      <w:r>
        <w:rPr>
          <w:rFonts w:hint="eastAsia" w:ascii="宋体" w:hAnsi="宋体" w:eastAsia="宋体" w:cs="宋体"/>
          <w:color w:val="auto"/>
          <w:kern w:val="0"/>
          <w:sz w:val="24"/>
          <w:szCs w:val="24"/>
        </w:rPr>
        <w:t>0。</w:t>
      </w:r>
    </w:p>
    <w:p>
      <w:pPr>
        <w:widowControl/>
        <w:shd w:val="clear" w:color="auto" w:fill="FFFFFF"/>
        <w:spacing w:line="360" w:lineRule="auto"/>
        <w:ind w:firstLine="48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2、领取地点：凡有意参加比选者，须在比选文件发放时间内联系河南招标采购服务有限公司（地址：驻马店市文明路与交通路交叉口向西100米路南3楼，电话：0396-2858369或13271738993，邮箱：</w:t>
      </w:r>
      <w:r>
        <w:rPr>
          <w:rFonts w:hint="eastAsia" w:ascii="宋体" w:hAnsi="宋体" w:eastAsia="宋体" w:cs="宋体"/>
          <w:color w:val="auto"/>
          <w:kern w:val="0"/>
          <w:sz w:val="24"/>
          <w:szCs w:val="24"/>
          <w:lang w:val="en-US" w:eastAsia="zh-CN"/>
        </w:rPr>
        <w:t>1150105437</w:t>
      </w:r>
      <w:r>
        <w:rPr>
          <w:rFonts w:hint="eastAsia" w:ascii="宋体" w:hAnsi="宋体" w:eastAsia="宋体" w:cs="宋体"/>
          <w:color w:val="auto"/>
          <w:kern w:val="0"/>
          <w:sz w:val="24"/>
          <w:szCs w:val="24"/>
        </w:rPr>
        <w:t>@qq.com）以电子邮件的形式进行比选文件领取。</w:t>
      </w:r>
    </w:p>
    <w:p>
      <w:pPr>
        <w:widowControl/>
        <w:shd w:val="clear" w:color="auto" w:fill="FFFFFF"/>
        <w:spacing w:line="360" w:lineRule="auto"/>
        <w:ind w:firstLine="48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3、领取比选文件时须提交以下材料：</w:t>
      </w:r>
    </w:p>
    <w:p>
      <w:pPr>
        <w:widowControl/>
        <w:shd w:val="clear" w:color="auto" w:fill="FFFFFF"/>
        <w:spacing w:line="360" w:lineRule="auto"/>
        <w:ind w:firstLine="48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（1）申请人单位营业执照正副本、中国银行间市场交易商协会认可的独立主承销业务资质复印件；</w:t>
      </w:r>
    </w:p>
    <w:p>
      <w:pPr>
        <w:widowControl/>
        <w:shd w:val="clear" w:color="auto" w:fill="FFFFFF"/>
        <w:spacing w:line="360" w:lineRule="auto"/>
        <w:ind w:firstLine="48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（2）申请人单位法定代表人身份证复印件；</w:t>
      </w:r>
    </w:p>
    <w:p>
      <w:pPr>
        <w:widowControl/>
        <w:shd w:val="clear" w:color="auto" w:fill="FFFFFF"/>
        <w:spacing w:line="360" w:lineRule="auto"/>
        <w:ind w:firstLine="48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（3）申请人单位法人代表授权委托书及报名委托代理人身份证复印件。</w:t>
      </w:r>
    </w:p>
    <w:p>
      <w:pPr>
        <w:widowControl/>
        <w:shd w:val="clear" w:color="auto" w:fill="FFFFFF"/>
        <w:spacing w:line="360" w:lineRule="auto"/>
        <w:ind w:firstLine="48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以上材料发送扫描件（需加盖公司印章）至邮箱</w:t>
      </w:r>
      <w:r>
        <w:rPr>
          <w:rFonts w:hint="eastAsia" w:ascii="宋体" w:hAnsi="宋体" w:eastAsia="宋体" w:cs="宋体"/>
          <w:color w:val="auto"/>
          <w:kern w:val="0"/>
          <w:sz w:val="24"/>
          <w:szCs w:val="24"/>
          <w:lang w:val="en-US" w:eastAsia="zh-CN"/>
        </w:rPr>
        <w:t>1150105437</w:t>
      </w:r>
      <w:r>
        <w:rPr>
          <w:rFonts w:hint="eastAsia" w:ascii="宋体" w:hAnsi="宋体" w:eastAsia="宋体" w:cs="宋体"/>
          <w:color w:val="auto"/>
          <w:kern w:val="0"/>
          <w:sz w:val="24"/>
          <w:szCs w:val="24"/>
        </w:rPr>
        <w:t>@qq.com，文件命名格式为“2023年公开发行短期融资券或超短期融资券主承销商项目比选+参选公司名称+联系人+联系方式”。</w:t>
      </w:r>
    </w:p>
    <w:p>
      <w:pPr>
        <w:widowControl/>
        <w:shd w:val="clear" w:color="auto" w:fill="FFFFFF"/>
        <w:spacing w:line="360" w:lineRule="auto"/>
        <w:jc w:val="left"/>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六、比选响应文件上报截止时间</w:t>
      </w:r>
    </w:p>
    <w:p>
      <w:pPr>
        <w:widowControl/>
        <w:shd w:val="clear" w:color="auto" w:fill="FFFFFF"/>
        <w:spacing w:line="360" w:lineRule="auto"/>
        <w:ind w:firstLine="48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2023年</w:t>
      </w:r>
      <w:r>
        <w:rPr>
          <w:rFonts w:hint="eastAsia" w:ascii="宋体" w:hAnsi="宋体" w:eastAsia="宋体" w:cs="宋体"/>
          <w:color w:val="auto"/>
          <w:kern w:val="0"/>
          <w:sz w:val="24"/>
          <w:szCs w:val="24"/>
          <w:lang w:val="en-US" w:eastAsia="zh-CN"/>
        </w:rPr>
        <w:t>7</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lang w:val="en-US" w:eastAsia="zh-CN"/>
        </w:rPr>
        <w:t>28</w:t>
      </w:r>
      <w:r>
        <w:rPr>
          <w:rFonts w:hint="eastAsia" w:ascii="宋体" w:hAnsi="宋体" w:eastAsia="宋体" w:cs="宋体"/>
          <w:color w:val="auto"/>
          <w:kern w:val="0"/>
          <w:sz w:val="24"/>
          <w:szCs w:val="24"/>
        </w:rPr>
        <w:t>日下午16时</w:t>
      </w:r>
      <w:r>
        <w:rPr>
          <w:rFonts w:hint="eastAsia" w:ascii="宋体" w:hAnsi="宋体" w:eastAsia="宋体" w:cs="宋体"/>
          <w:color w:val="auto"/>
          <w:kern w:val="0"/>
          <w:sz w:val="24"/>
          <w:szCs w:val="24"/>
          <w:lang w:val="en-US" w:eastAsia="zh-CN"/>
        </w:rPr>
        <w:t>0</w:t>
      </w:r>
      <w:r>
        <w:rPr>
          <w:rFonts w:hint="eastAsia" w:ascii="宋体" w:hAnsi="宋体" w:eastAsia="宋体" w:cs="宋体"/>
          <w:color w:val="auto"/>
          <w:kern w:val="0"/>
          <w:sz w:val="24"/>
          <w:szCs w:val="24"/>
        </w:rPr>
        <w:t>0分（逾期视为自动放弃比选资格）。</w:t>
      </w:r>
    </w:p>
    <w:p>
      <w:pPr>
        <w:widowControl/>
        <w:shd w:val="clear" w:color="auto" w:fill="FFFFFF"/>
        <w:spacing w:line="360" w:lineRule="auto"/>
        <w:jc w:val="left"/>
        <w:rPr>
          <w:rFonts w:hint="eastAsia" w:ascii="宋体" w:hAnsi="宋体" w:eastAsia="宋体" w:cs="宋体"/>
          <w:color w:val="auto"/>
          <w:kern w:val="0"/>
          <w:sz w:val="24"/>
          <w:szCs w:val="24"/>
          <w:lang w:eastAsia="zh-CN"/>
        </w:rPr>
      </w:pPr>
      <w:r>
        <w:rPr>
          <w:rFonts w:hint="eastAsia" w:ascii="宋体" w:hAnsi="宋体" w:eastAsia="宋体" w:cs="宋体"/>
          <w:b/>
          <w:bCs/>
          <w:color w:val="auto"/>
          <w:kern w:val="0"/>
          <w:sz w:val="24"/>
          <w:szCs w:val="24"/>
        </w:rPr>
        <w:t>七、递交比选响应文件地点及要求</w:t>
      </w:r>
    </w:p>
    <w:p>
      <w:pPr>
        <w:widowControl/>
        <w:shd w:val="clear" w:color="auto" w:fill="FFFFFF"/>
        <w:spacing w:line="360" w:lineRule="auto"/>
        <w:ind w:firstLine="48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正本一份（装订成册），副本四份（装订成册），电子版一份（签字盖章的</w:t>
      </w:r>
      <w:r>
        <w:rPr>
          <w:rFonts w:hint="eastAsia" w:ascii="宋体" w:hAnsi="宋体" w:eastAsia="宋体" w:cs="宋体"/>
          <w:color w:val="auto"/>
          <w:kern w:val="0"/>
          <w:sz w:val="24"/>
          <w:szCs w:val="24"/>
          <w:lang w:eastAsia="zh-CN"/>
        </w:rPr>
        <w:t>响应文件正本</w:t>
      </w:r>
      <w:r>
        <w:rPr>
          <w:rFonts w:hint="eastAsia" w:ascii="宋体" w:hAnsi="宋体" w:eastAsia="宋体" w:cs="宋体"/>
          <w:color w:val="auto"/>
          <w:kern w:val="0"/>
          <w:sz w:val="24"/>
          <w:szCs w:val="24"/>
          <w:lang w:val="en-US" w:eastAsia="zh-CN"/>
        </w:rPr>
        <w:t>PDF扫描件，</w:t>
      </w:r>
      <w:r>
        <w:rPr>
          <w:rFonts w:hint="eastAsia" w:ascii="宋体" w:hAnsi="宋体" w:eastAsia="宋体" w:cs="宋体"/>
          <w:color w:val="auto"/>
          <w:kern w:val="0"/>
          <w:sz w:val="24"/>
          <w:szCs w:val="24"/>
        </w:rPr>
        <w:t>U盘），密封后报送至河南招标采购服务有限公司驻马店分公司303会议室（驻马店市文明路与交通路交叉口向西100米路南3楼）。</w:t>
      </w:r>
    </w:p>
    <w:p>
      <w:pPr>
        <w:widowControl/>
        <w:shd w:val="clear" w:color="auto" w:fill="FFFFFF"/>
        <w:spacing w:line="360" w:lineRule="auto"/>
        <w:jc w:val="left"/>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八、比选开始时间及地点</w:t>
      </w:r>
    </w:p>
    <w:p>
      <w:pPr>
        <w:widowControl/>
        <w:shd w:val="clear" w:color="auto" w:fill="FFFFFF"/>
        <w:spacing w:line="360" w:lineRule="auto"/>
        <w:ind w:firstLine="48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兹定于2023年</w:t>
      </w:r>
      <w:r>
        <w:rPr>
          <w:rFonts w:hint="eastAsia" w:ascii="宋体" w:hAnsi="宋体" w:eastAsia="宋体" w:cs="宋体"/>
          <w:color w:val="auto"/>
          <w:kern w:val="0"/>
          <w:sz w:val="24"/>
          <w:szCs w:val="24"/>
          <w:lang w:val="en-US" w:eastAsia="zh-CN"/>
        </w:rPr>
        <w:t>7</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lang w:val="en-US" w:eastAsia="zh-CN"/>
        </w:rPr>
        <w:t xml:space="preserve">28 </w:t>
      </w:r>
      <w:r>
        <w:rPr>
          <w:rFonts w:hint="eastAsia" w:ascii="宋体" w:hAnsi="宋体" w:eastAsia="宋体" w:cs="宋体"/>
          <w:color w:val="auto"/>
          <w:kern w:val="0"/>
          <w:sz w:val="24"/>
          <w:szCs w:val="24"/>
        </w:rPr>
        <w:t>日16:</w:t>
      </w:r>
      <w:r>
        <w:rPr>
          <w:rFonts w:hint="eastAsia" w:ascii="宋体" w:hAnsi="宋体" w:eastAsia="宋体" w:cs="宋体"/>
          <w:color w:val="auto"/>
          <w:kern w:val="0"/>
          <w:sz w:val="24"/>
          <w:szCs w:val="24"/>
          <w:lang w:val="en-US" w:eastAsia="zh-CN"/>
        </w:rPr>
        <w:t>0</w:t>
      </w:r>
      <w:r>
        <w:rPr>
          <w:rFonts w:hint="eastAsia" w:ascii="宋体" w:hAnsi="宋体" w:eastAsia="宋体" w:cs="宋体"/>
          <w:color w:val="auto"/>
          <w:kern w:val="0"/>
          <w:sz w:val="24"/>
          <w:szCs w:val="24"/>
        </w:rPr>
        <w:t>0在河南招标采购服务有限公司驻马店分公司303会议室公开比选，逾期送达或未送达指定地点的比选响应文件将拒绝接收。若比选时间延后会提前通知各家报名单位。</w:t>
      </w:r>
    </w:p>
    <w:p>
      <w:pPr>
        <w:widowControl/>
        <w:shd w:val="clear" w:color="auto" w:fill="FFFFFF"/>
        <w:spacing w:line="360" w:lineRule="auto"/>
        <w:jc w:val="left"/>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九、参选人资格要求</w:t>
      </w:r>
    </w:p>
    <w:p>
      <w:pPr>
        <w:widowControl/>
        <w:shd w:val="clear" w:color="auto" w:fill="FFFFFF"/>
        <w:spacing w:line="360" w:lineRule="auto"/>
        <w:ind w:firstLine="48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1、比选申请人须为依法在中华人民共和国境内设立，并具有可以开展非金融企业债务融资工具主承销业务资格。（以《中国银行间市场交易商协会》官网的公示为准，响应文件中提供网页截图）；</w:t>
      </w:r>
    </w:p>
    <w:p>
      <w:pPr>
        <w:widowControl/>
        <w:shd w:val="clear" w:color="auto" w:fill="FFFFFF"/>
        <w:spacing w:line="360" w:lineRule="auto"/>
        <w:ind w:firstLine="48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2、如为银行类比选申请人，(1)如为分行或支行，招标文件中涉及的“法定代表人”即对应“分支机构负责人”；(2)如为分行或支行，必须提供总行出具的授权。</w:t>
      </w:r>
    </w:p>
    <w:p>
      <w:pPr>
        <w:widowControl/>
        <w:shd w:val="clear" w:color="auto" w:fill="FFFFFF"/>
        <w:spacing w:line="360" w:lineRule="auto"/>
        <w:ind w:firstLine="48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3、比选申请人须提供通过“信用中国”网站（www.creditchina.gov.cn）渠道查询结果网页截图，被列入失信被执行人、重大税收违法失信主体名单的投标人，不得参与本项目比选（提供查询结果网页截图）；</w:t>
      </w:r>
    </w:p>
    <w:p>
      <w:pPr>
        <w:widowControl/>
        <w:shd w:val="clear" w:color="auto" w:fill="FFFFFF"/>
        <w:spacing w:line="360" w:lineRule="auto"/>
        <w:ind w:firstLine="48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4、比选阶段参选人可以单独参选，或组成联合体参选。以联合体参选的，需提供联合体协议。联合体还应遵守以下规定：</w:t>
      </w:r>
    </w:p>
    <w:p>
      <w:pPr>
        <w:widowControl/>
        <w:shd w:val="clear" w:color="auto" w:fill="FFFFFF"/>
        <w:spacing w:line="360" w:lineRule="auto"/>
        <w:ind w:firstLine="48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(1)联合体各方必须提供签订的联合体协议书，明确联合体牵头人和各方的权利义务；</w:t>
      </w:r>
    </w:p>
    <w:p>
      <w:pPr>
        <w:widowControl/>
        <w:shd w:val="clear" w:color="auto" w:fill="FFFFFF"/>
        <w:spacing w:line="360" w:lineRule="auto"/>
        <w:ind w:firstLine="48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(2)联合体各方不得再单独参加或者与其他参选人另外组成联合体参加本项目的比选；</w:t>
      </w:r>
    </w:p>
    <w:p>
      <w:pPr>
        <w:widowControl/>
        <w:shd w:val="clear" w:color="auto" w:fill="FFFFFF"/>
        <w:spacing w:line="360" w:lineRule="auto"/>
        <w:ind w:firstLine="48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牵头人的法定代表人或其授权的委托代理人负责签署本次招标活动的相关资料，需要盖章的由牵头人盖单位公章，由联合体牵头人负责对联合体各成员的资料进行统一汇总后一并提交给比选人；联合体牵头人所提交的比选响应文件应认为已代表了联合体各成员的意愿和真实情况；</w:t>
      </w:r>
    </w:p>
    <w:p>
      <w:pPr>
        <w:widowControl/>
        <w:shd w:val="clear" w:color="auto" w:fill="FFFFFF"/>
        <w:spacing w:line="360" w:lineRule="auto"/>
        <w:ind w:firstLine="48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(4)尽管委任了联合体牵头人，但联合体各成员在参选、签约与履行合同过程中，仍负有连带的和各自的法律责任。</w:t>
      </w:r>
    </w:p>
    <w:p>
      <w:pPr>
        <w:widowControl/>
        <w:shd w:val="clear" w:color="auto" w:fill="FFFFFF"/>
        <w:spacing w:line="360" w:lineRule="auto"/>
        <w:jc w:val="left"/>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十、比选响应文件比选规则</w:t>
      </w:r>
    </w:p>
    <w:p>
      <w:pPr>
        <w:widowControl/>
        <w:shd w:val="clear" w:color="auto" w:fill="FFFFFF"/>
        <w:spacing w:line="360" w:lineRule="auto"/>
        <w:ind w:firstLine="48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驻马店市发展投资集团有限公司</w:t>
      </w:r>
      <w:r>
        <w:rPr>
          <w:rFonts w:hint="eastAsia" w:ascii="宋体" w:hAnsi="宋体" w:eastAsia="宋体" w:cs="宋体"/>
          <w:color w:val="auto"/>
          <w:kern w:val="0"/>
          <w:sz w:val="24"/>
          <w:szCs w:val="24"/>
        </w:rPr>
        <w:t>根据符合资格条件金融机构所递交的比选响应文件，由比选小组进行评审打分，确定分数最高的参选人为本次债券发行的</w:t>
      </w:r>
      <w:r>
        <w:rPr>
          <w:rFonts w:hint="eastAsia" w:ascii="宋体" w:hAnsi="宋体" w:eastAsia="宋体" w:cs="宋体"/>
          <w:color w:val="auto"/>
          <w:kern w:val="0"/>
          <w:sz w:val="24"/>
          <w:szCs w:val="24"/>
          <w:highlight w:val="none"/>
        </w:rPr>
        <w:t>承销商</w:t>
      </w:r>
      <w:r>
        <w:rPr>
          <w:rFonts w:hint="eastAsia" w:ascii="宋体" w:hAnsi="宋体" w:eastAsia="宋体" w:cs="宋体"/>
          <w:color w:val="auto"/>
          <w:kern w:val="0"/>
          <w:sz w:val="24"/>
          <w:szCs w:val="24"/>
        </w:rPr>
        <w:t>。</w:t>
      </w:r>
    </w:p>
    <w:p>
      <w:pPr>
        <w:widowControl/>
        <w:shd w:val="clear" w:color="auto" w:fill="FFFFFF"/>
        <w:spacing w:line="360" w:lineRule="auto"/>
        <w:jc w:val="left"/>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十一、公示</w:t>
      </w:r>
    </w:p>
    <w:p>
      <w:pPr>
        <w:widowControl/>
        <w:shd w:val="clear" w:color="auto" w:fill="FFFFFF"/>
        <w:spacing w:line="360" w:lineRule="auto"/>
        <w:ind w:firstLine="48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比选结果在驻马店市产业投资集团有限公司官网（http://www.zmdyzkgjt.com/）公示，公示期3个工作日。 </w:t>
      </w:r>
    </w:p>
    <w:p>
      <w:pPr>
        <w:widowControl/>
        <w:shd w:val="clear" w:color="auto" w:fill="FFFFFF"/>
        <w:spacing w:line="360" w:lineRule="auto"/>
        <w:jc w:val="left"/>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十二、其他</w:t>
      </w:r>
    </w:p>
    <w:p>
      <w:pPr>
        <w:widowControl/>
        <w:shd w:val="clear" w:color="auto" w:fill="FFFFFF"/>
        <w:spacing w:line="360" w:lineRule="auto"/>
        <w:ind w:firstLine="645"/>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比选响应文件将由</w:t>
      </w:r>
      <w:r>
        <w:rPr>
          <w:rFonts w:hint="eastAsia" w:ascii="宋体" w:hAnsi="宋体" w:eastAsia="宋体" w:cs="宋体"/>
          <w:color w:val="auto"/>
          <w:kern w:val="0"/>
          <w:sz w:val="24"/>
          <w:szCs w:val="24"/>
          <w:lang w:eastAsia="zh-CN"/>
        </w:rPr>
        <w:t>驻马店市发展投资集团有限公司</w:t>
      </w:r>
      <w:r>
        <w:rPr>
          <w:rFonts w:hint="eastAsia" w:ascii="宋体" w:hAnsi="宋体" w:eastAsia="宋体" w:cs="宋体"/>
          <w:color w:val="auto"/>
          <w:kern w:val="0"/>
          <w:sz w:val="24"/>
          <w:szCs w:val="24"/>
        </w:rPr>
        <w:t>统一封存，相关材料自收到后不再退回。各参选单位应对比选响应文件及相关资料内容真实性、有效性负责。</w:t>
      </w:r>
    </w:p>
    <w:p>
      <w:pPr>
        <w:widowControl/>
        <w:shd w:val="clear" w:color="auto" w:fill="FFFFFF"/>
        <w:spacing w:line="360" w:lineRule="auto"/>
        <w:jc w:val="left"/>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十三、联系方式</w:t>
      </w:r>
    </w:p>
    <w:p>
      <w:pPr>
        <w:widowControl/>
        <w:shd w:val="clear" w:color="auto" w:fill="FFFFFF"/>
        <w:spacing w:line="360" w:lineRule="auto"/>
        <w:ind w:firstLine="645"/>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代理机构：河南招标采购服务有限公司</w:t>
      </w:r>
    </w:p>
    <w:p>
      <w:pPr>
        <w:widowControl/>
        <w:shd w:val="clear" w:color="auto" w:fill="FFFFFF"/>
        <w:spacing w:line="360" w:lineRule="auto"/>
        <w:ind w:firstLine="645"/>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地址：驻马店市文明路与交通路交叉口向西100米路南3楼</w:t>
      </w:r>
    </w:p>
    <w:p>
      <w:pPr>
        <w:widowControl/>
        <w:shd w:val="clear" w:color="auto" w:fill="FFFFFF"/>
        <w:spacing w:line="360" w:lineRule="auto"/>
        <w:ind w:firstLine="645"/>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联系人：吴先生</w:t>
      </w:r>
    </w:p>
    <w:p>
      <w:pPr>
        <w:widowControl/>
        <w:shd w:val="clear" w:color="auto" w:fill="FFFFFF"/>
        <w:spacing w:line="360" w:lineRule="auto"/>
        <w:ind w:firstLine="645"/>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联系电话：13271738993，0396-2858369</w:t>
      </w:r>
    </w:p>
    <w:p>
      <w:pPr>
        <w:widowControl/>
        <w:shd w:val="clear" w:color="auto" w:fill="FFFFFF"/>
        <w:spacing w:line="360" w:lineRule="auto"/>
        <w:ind w:firstLine="645"/>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比选人：驻马店市发展投资集团有限公司</w:t>
      </w:r>
    </w:p>
    <w:p>
      <w:pPr>
        <w:widowControl/>
        <w:shd w:val="clear" w:color="auto" w:fill="FFFFFF"/>
        <w:spacing w:line="360" w:lineRule="auto"/>
        <w:ind w:firstLine="645"/>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地址：驻马店市淮河大道与金顶山路交叉口西南角农商行大厦</w:t>
      </w:r>
      <w:r>
        <w:rPr>
          <w:rFonts w:ascii="宋体" w:hAnsi="宋体" w:eastAsia="宋体" w:cs="宋体"/>
          <w:color w:val="auto"/>
          <w:kern w:val="0"/>
          <w:sz w:val="24"/>
          <w:szCs w:val="24"/>
        </w:rPr>
        <w:t>20楼会议室</w:t>
      </w:r>
    </w:p>
    <w:p>
      <w:pPr>
        <w:widowControl/>
        <w:shd w:val="clear" w:color="auto" w:fill="FFFFFF"/>
        <w:spacing w:line="360" w:lineRule="auto"/>
        <w:ind w:firstLine="645"/>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联系人：聂先生</w:t>
      </w:r>
    </w:p>
    <w:p>
      <w:pPr>
        <w:widowControl/>
        <w:shd w:val="clear" w:color="auto" w:fill="FFFFFF"/>
        <w:spacing w:line="360" w:lineRule="auto"/>
        <w:ind w:firstLine="645"/>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联系电话：</w:t>
      </w:r>
      <w:r>
        <w:rPr>
          <w:rFonts w:ascii="宋体" w:hAnsi="宋体" w:eastAsia="宋体" w:cs="宋体"/>
          <w:color w:val="auto"/>
          <w:kern w:val="0"/>
          <w:sz w:val="24"/>
          <w:szCs w:val="24"/>
        </w:rPr>
        <w:t>0396-3580807</w:t>
      </w:r>
    </w:p>
    <w:p>
      <w:pPr>
        <w:widowControl/>
        <w:shd w:val="clear" w:color="auto" w:fill="FFFFFF"/>
        <w:spacing w:after="75" w:line="360" w:lineRule="auto"/>
        <w:ind w:firstLine="645"/>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p>
      <w:pPr>
        <w:widowControl/>
        <w:shd w:val="clear" w:color="auto" w:fill="FFFFFF"/>
        <w:spacing w:after="75" w:line="360" w:lineRule="auto"/>
        <w:ind w:right="480" w:firstLine="240" w:firstLineChars="100"/>
        <w:jc w:val="righ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驻马店市发展投资集团有限公司</w:t>
      </w:r>
    </w:p>
    <w:p>
      <w:pPr>
        <w:ind w:firstLine="6240" w:firstLineChars="2600"/>
        <w:rPr>
          <w:rFonts w:hint="eastAsia" w:ascii="宋体" w:hAnsi="宋体" w:eastAsia="宋体" w:cs="宋体"/>
          <w:color w:val="auto"/>
        </w:rPr>
      </w:pPr>
      <w:r>
        <w:rPr>
          <w:rFonts w:hint="eastAsia" w:ascii="宋体" w:hAnsi="宋体" w:eastAsia="宋体" w:cs="宋体"/>
          <w:color w:val="auto"/>
          <w:kern w:val="0"/>
          <w:sz w:val="24"/>
          <w:szCs w:val="24"/>
        </w:rPr>
        <w:t>2023年</w:t>
      </w:r>
      <w:r>
        <w:rPr>
          <w:rFonts w:hint="eastAsia" w:ascii="宋体" w:hAnsi="宋体" w:eastAsia="宋体" w:cs="宋体"/>
          <w:color w:val="auto"/>
          <w:kern w:val="0"/>
          <w:sz w:val="24"/>
          <w:szCs w:val="24"/>
          <w:lang w:val="en-US" w:eastAsia="zh-CN"/>
        </w:rPr>
        <w:t>7</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lang w:val="en-US" w:eastAsia="zh-CN"/>
        </w:rPr>
        <w:t>21</w:t>
      </w:r>
      <w:r>
        <w:rPr>
          <w:rFonts w:hint="eastAsia" w:ascii="宋体" w:hAnsi="宋体" w:eastAsia="宋体" w:cs="宋体"/>
          <w:color w:val="auto"/>
          <w:kern w:val="0"/>
          <w:sz w:val="24"/>
          <w:szCs w:val="24"/>
        </w:rPr>
        <w:t>日</w:t>
      </w:r>
    </w:p>
    <w:p>
      <w:pPr>
        <w:rPr>
          <w:rFonts w:hint="eastAsia" w:ascii="宋体" w:hAnsi="宋体" w:eastAsia="宋体" w:cs="宋体"/>
          <w:color w:val="auto"/>
          <w:sz w:val="28"/>
          <w:szCs w:val="28"/>
        </w:rPr>
      </w:pPr>
    </w:p>
    <w:p>
      <w:pPr>
        <w:pStyle w:val="2"/>
        <w:rPr>
          <w:rFonts w:hint="eastAsia"/>
          <w:color w:val="auto"/>
        </w:rPr>
      </w:pPr>
    </w:p>
    <w:p>
      <w:pPr>
        <w:rPr>
          <w:rFonts w:hint="eastAsia" w:ascii="宋体" w:hAnsi="宋体" w:eastAsia="宋体" w:cs="宋体"/>
          <w:color w:val="auto"/>
          <w:kern w:val="0"/>
          <w:szCs w:val="44"/>
        </w:rPr>
      </w:pPr>
    </w:p>
    <w:p>
      <w:pPr>
        <w:pStyle w:val="25"/>
        <w:rPr>
          <w:rFonts w:hint="eastAsia" w:ascii="宋体" w:hAnsi="宋体" w:eastAsia="宋体" w:cs="宋体"/>
          <w:bCs w:val="0"/>
          <w:color w:val="auto"/>
          <w:kern w:val="0"/>
          <w:szCs w:val="44"/>
        </w:rPr>
      </w:pPr>
      <w:bookmarkStart w:id="4" w:name="_Toc129763146"/>
      <w:r>
        <w:rPr>
          <w:rFonts w:hint="eastAsia" w:ascii="宋体" w:hAnsi="宋体" w:eastAsia="宋体" w:cs="宋体"/>
          <w:bCs w:val="0"/>
          <w:color w:val="auto"/>
          <w:kern w:val="0"/>
          <w:szCs w:val="44"/>
        </w:rPr>
        <w:t>第二章参选人须知</w:t>
      </w:r>
      <w:bookmarkEnd w:id="4"/>
    </w:p>
    <w:tbl>
      <w:tblPr>
        <w:tblStyle w:val="28"/>
        <w:tblW w:w="9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381"/>
        <w:gridCol w:w="7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blHeader/>
          <w:jc w:val="center"/>
        </w:trPr>
        <w:tc>
          <w:tcPr>
            <w:tcW w:w="690" w:type="dxa"/>
            <w:vAlign w:val="center"/>
          </w:tcPr>
          <w:p>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1381" w:type="dxa"/>
            <w:vAlign w:val="center"/>
          </w:tcPr>
          <w:p>
            <w:pPr>
              <w:jc w:val="center"/>
              <w:rPr>
                <w:rFonts w:hint="eastAsia" w:ascii="宋体" w:hAnsi="宋体" w:eastAsia="宋体" w:cs="宋体"/>
                <w:b/>
                <w:color w:val="auto"/>
                <w:sz w:val="24"/>
                <w:szCs w:val="24"/>
              </w:rPr>
            </w:pPr>
            <w:r>
              <w:rPr>
                <w:rFonts w:hint="eastAsia" w:ascii="宋体" w:hAnsi="宋体" w:eastAsia="宋体" w:cs="宋体"/>
                <w:b/>
                <w:color w:val="auto"/>
                <w:kern w:val="1"/>
                <w:sz w:val="24"/>
                <w:szCs w:val="24"/>
              </w:rPr>
              <w:t>条款名称</w:t>
            </w:r>
          </w:p>
        </w:tc>
        <w:tc>
          <w:tcPr>
            <w:tcW w:w="7791" w:type="dxa"/>
            <w:vAlign w:val="center"/>
          </w:tcPr>
          <w:p>
            <w:pPr>
              <w:jc w:val="center"/>
              <w:rPr>
                <w:rFonts w:hint="eastAsia" w:ascii="宋体" w:hAnsi="宋体" w:eastAsia="宋体" w:cs="宋体"/>
                <w:b/>
                <w:color w:val="auto"/>
                <w:sz w:val="24"/>
                <w:szCs w:val="24"/>
              </w:rPr>
            </w:pPr>
            <w:r>
              <w:rPr>
                <w:rFonts w:hint="eastAsia" w:ascii="宋体" w:hAnsi="宋体" w:eastAsia="宋体" w:cs="宋体"/>
                <w:b/>
                <w:color w:val="auto"/>
                <w:kern w:val="1"/>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jc w:val="center"/>
        </w:trPr>
        <w:tc>
          <w:tcPr>
            <w:tcW w:w="690"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kern w:val="1"/>
                <w:sz w:val="24"/>
                <w:szCs w:val="24"/>
              </w:rPr>
              <w:t>1</w:t>
            </w:r>
          </w:p>
        </w:tc>
        <w:tc>
          <w:tcPr>
            <w:tcW w:w="1381" w:type="dxa"/>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tc>
        <w:tc>
          <w:tcPr>
            <w:tcW w:w="7791" w:type="dxa"/>
            <w:vAlign w:val="center"/>
          </w:tcPr>
          <w:p>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1.1比选人名称：</w:t>
            </w:r>
            <w:r>
              <w:rPr>
                <w:rFonts w:hint="eastAsia" w:ascii="宋体" w:hAnsi="宋体" w:eastAsia="宋体" w:cs="宋体"/>
                <w:color w:val="auto"/>
                <w:sz w:val="24"/>
                <w:szCs w:val="24"/>
                <w:lang w:eastAsia="zh-CN"/>
              </w:rPr>
              <w:t>驻马店市发展投资集团有限公司</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1.2项目名称：</w:t>
            </w:r>
            <w:r>
              <w:rPr>
                <w:rFonts w:hint="eastAsia" w:ascii="宋体" w:hAnsi="宋体" w:eastAsia="宋体" w:cs="宋体"/>
                <w:color w:val="auto"/>
                <w:sz w:val="24"/>
                <w:szCs w:val="24"/>
                <w:lang w:eastAsia="zh-CN"/>
              </w:rPr>
              <w:t>驻马店市发展投资集团有限公司选聘2023年公开发行短期融资券或超短期融资券主承销商项目</w:t>
            </w:r>
            <w:r>
              <w:rPr>
                <w:rFonts w:hint="eastAsia" w:ascii="宋体" w:hAnsi="宋体" w:eastAsia="宋体" w:cs="宋体"/>
                <w:color w:val="auto"/>
                <w:sz w:val="24"/>
                <w:szCs w:val="24"/>
              </w:rPr>
              <w:t>。</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1.3为满足公司项目建设、偿还有息负债和补充流动性等资金需求，</w:t>
            </w:r>
            <w:r>
              <w:rPr>
                <w:rFonts w:hint="eastAsia" w:ascii="宋体" w:hAnsi="宋体" w:eastAsia="宋体" w:cs="宋体"/>
                <w:color w:val="auto"/>
                <w:sz w:val="24"/>
                <w:szCs w:val="24"/>
                <w:lang w:eastAsia="zh-CN"/>
              </w:rPr>
              <w:t>驻马店市发展投资集团有限公司</w:t>
            </w:r>
            <w:r>
              <w:rPr>
                <w:rFonts w:hint="eastAsia" w:ascii="宋体" w:hAnsi="宋体" w:eastAsia="宋体" w:cs="宋体"/>
                <w:color w:val="auto"/>
                <w:sz w:val="24"/>
                <w:szCs w:val="24"/>
              </w:rPr>
              <w:t>拟申请申报并发行</w:t>
            </w:r>
            <w:r>
              <w:rPr>
                <w:rFonts w:hint="eastAsia" w:ascii="宋体" w:hAnsi="宋体" w:eastAsia="宋体" w:cs="宋体"/>
                <w:color w:val="auto"/>
                <w:sz w:val="24"/>
                <w:szCs w:val="24"/>
                <w:lang w:eastAsia="zh-CN"/>
              </w:rPr>
              <w:t>不超过</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0亿元短期融资券或超短期融资券</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690"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381" w:type="dxa"/>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比选方式</w:t>
            </w:r>
          </w:p>
        </w:tc>
        <w:tc>
          <w:tcPr>
            <w:tcW w:w="7791" w:type="dxa"/>
            <w:vAlign w:val="center"/>
          </w:tcPr>
          <w:p>
            <w:pPr>
              <w:pStyle w:val="34"/>
              <w:ind w:left="42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公开比选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690"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381" w:type="dxa"/>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资格要求</w:t>
            </w:r>
          </w:p>
        </w:tc>
        <w:tc>
          <w:tcPr>
            <w:tcW w:w="7791" w:type="dxa"/>
            <w:vAlign w:val="center"/>
          </w:tcPr>
          <w:p>
            <w:pPr>
              <w:spacing w:line="360" w:lineRule="auto"/>
              <w:rPr>
                <w:rFonts w:hint="eastAsia" w:ascii="宋体" w:hAnsi="宋体" w:eastAsia="宋体" w:cs="宋体"/>
                <w:color w:val="auto"/>
                <w:sz w:val="24"/>
                <w:szCs w:val="28"/>
              </w:rPr>
            </w:pPr>
            <w:r>
              <w:rPr>
                <w:rFonts w:hint="eastAsia" w:ascii="宋体" w:hAnsi="宋体" w:eastAsia="宋体" w:cs="宋体"/>
                <w:color w:val="auto"/>
                <w:sz w:val="24"/>
                <w:szCs w:val="28"/>
              </w:rPr>
              <w:t>1、比选申请人须为依法在中华人民共和国境内设立，并具有可以开展非金融企业债务融资工具主承销业务资格。（以《中国银行间市场交易商协会》官网的公示为准，响应文件中提供网页截图）；</w:t>
            </w:r>
          </w:p>
          <w:p>
            <w:pPr>
              <w:spacing w:line="360" w:lineRule="auto"/>
              <w:rPr>
                <w:rFonts w:hint="eastAsia" w:ascii="宋体" w:hAnsi="宋体" w:eastAsia="宋体" w:cs="宋体"/>
                <w:color w:val="auto"/>
                <w:sz w:val="24"/>
                <w:szCs w:val="28"/>
              </w:rPr>
            </w:pPr>
            <w:r>
              <w:rPr>
                <w:rFonts w:hint="eastAsia" w:ascii="宋体" w:hAnsi="宋体" w:eastAsia="宋体" w:cs="宋体"/>
                <w:color w:val="auto"/>
                <w:sz w:val="24"/>
                <w:szCs w:val="28"/>
              </w:rPr>
              <w:t>2、如为银行类比选申请人，(1)如为分行或支行，招标文件中涉及的“法定代表人”即对应“分支机构负责人”；(2)如为分行或支行，必须提供总行出具的授权。</w:t>
            </w:r>
          </w:p>
          <w:p>
            <w:pPr>
              <w:spacing w:line="360" w:lineRule="auto"/>
              <w:rPr>
                <w:rFonts w:hint="eastAsia" w:ascii="宋体" w:hAnsi="宋体" w:eastAsia="宋体" w:cs="宋体"/>
                <w:color w:val="auto"/>
                <w:sz w:val="24"/>
                <w:szCs w:val="28"/>
              </w:rPr>
            </w:pPr>
            <w:r>
              <w:rPr>
                <w:rFonts w:hint="eastAsia" w:ascii="宋体" w:hAnsi="宋体" w:eastAsia="宋体" w:cs="宋体"/>
                <w:color w:val="auto"/>
                <w:sz w:val="24"/>
                <w:szCs w:val="28"/>
              </w:rPr>
              <w:t>3、比选申请人须提供通过“信用中国”网站（www.creditchina.gov.cn）渠道查询结果网页截图，被列入失信被执行人、重大税收违法失信主体名单的投标人，不得参与本项目比选（提供查询结果网页截图）；</w:t>
            </w:r>
          </w:p>
          <w:p>
            <w:pPr>
              <w:spacing w:line="360" w:lineRule="auto"/>
              <w:rPr>
                <w:rFonts w:hint="eastAsia" w:ascii="宋体" w:hAnsi="宋体" w:eastAsia="宋体" w:cs="宋体"/>
                <w:color w:val="auto"/>
                <w:sz w:val="24"/>
                <w:szCs w:val="28"/>
              </w:rPr>
            </w:pPr>
            <w:r>
              <w:rPr>
                <w:rFonts w:hint="eastAsia" w:ascii="宋体" w:hAnsi="宋体" w:eastAsia="宋体" w:cs="宋体"/>
                <w:color w:val="auto"/>
                <w:sz w:val="24"/>
                <w:szCs w:val="28"/>
              </w:rPr>
              <w:t>4、比选阶段参选人可以单独参选，或组成联合体参选。以联合体参选的，需提供联合体协议。联合体还应遵守以下规定：</w:t>
            </w:r>
          </w:p>
          <w:p>
            <w:pPr>
              <w:spacing w:line="360" w:lineRule="auto"/>
              <w:rPr>
                <w:rFonts w:hint="eastAsia" w:ascii="宋体" w:hAnsi="宋体" w:eastAsia="宋体" w:cs="宋体"/>
                <w:color w:val="auto"/>
                <w:sz w:val="24"/>
                <w:szCs w:val="28"/>
              </w:rPr>
            </w:pPr>
            <w:r>
              <w:rPr>
                <w:rFonts w:hint="eastAsia" w:ascii="宋体" w:hAnsi="宋体" w:eastAsia="宋体" w:cs="宋体"/>
                <w:color w:val="auto"/>
                <w:sz w:val="24"/>
                <w:szCs w:val="28"/>
              </w:rPr>
              <w:t>(1)联合体各方必须提供签订的联合体协议书，明确联合体牵头人和各方的权利义务；</w:t>
            </w:r>
          </w:p>
          <w:p>
            <w:pPr>
              <w:spacing w:line="360" w:lineRule="auto"/>
              <w:rPr>
                <w:rFonts w:hint="eastAsia" w:ascii="宋体" w:hAnsi="宋体" w:eastAsia="宋体" w:cs="宋体"/>
                <w:color w:val="auto"/>
                <w:sz w:val="24"/>
                <w:szCs w:val="28"/>
              </w:rPr>
            </w:pPr>
            <w:r>
              <w:rPr>
                <w:rFonts w:hint="eastAsia" w:ascii="宋体" w:hAnsi="宋体" w:eastAsia="宋体" w:cs="宋体"/>
                <w:color w:val="auto"/>
                <w:sz w:val="24"/>
                <w:szCs w:val="28"/>
              </w:rPr>
              <w:t>(2)联合体各方不得再单独参加或者与其他参选人另外组成联合体参加本项目的比选；</w:t>
            </w:r>
          </w:p>
          <w:p>
            <w:pPr>
              <w:spacing w:line="360" w:lineRule="auto"/>
              <w:rPr>
                <w:rFonts w:hint="eastAsia" w:ascii="宋体" w:hAnsi="宋体" w:eastAsia="宋体" w:cs="宋体"/>
                <w:color w:val="auto"/>
                <w:sz w:val="24"/>
                <w:szCs w:val="28"/>
              </w:rPr>
            </w:pPr>
            <w:r>
              <w:rPr>
                <w:rFonts w:hint="eastAsia" w:ascii="宋体" w:hAnsi="宋体" w:eastAsia="宋体" w:cs="宋体"/>
                <w:color w:val="auto"/>
                <w:sz w:val="24"/>
                <w:szCs w:val="28"/>
              </w:rPr>
              <w:t>(3)牵头人的法定代表人或其授权的委托代理人负责签署本次招标活动的相关资料，需要盖章的由牵头人盖单位公章，由联合体牵头人负责对联合体各成员的资料进行统一汇总后一并提交给比选人；联合体牵头人所提交的比选响应文件应认为已代表了联合体各成员的意愿和真实情况；</w:t>
            </w:r>
          </w:p>
          <w:p>
            <w:pPr>
              <w:spacing w:line="360" w:lineRule="auto"/>
              <w:rPr>
                <w:rFonts w:hint="eastAsia" w:ascii="宋体" w:hAnsi="宋体" w:eastAsia="宋体" w:cs="宋体"/>
                <w:color w:val="auto"/>
                <w:sz w:val="24"/>
                <w:szCs w:val="28"/>
              </w:rPr>
            </w:pPr>
            <w:r>
              <w:rPr>
                <w:rFonts w:hint="eastAsia" w:ascii="宋体" w:hAnsi="宋体" w:eastAsia="宋体" w:cs="宋体"/>
                <w:color w:val="auto"/>
                <w:sz w:val="24"/>
                <w:szCs w:val="28"/>
              </w:rPr>
              <w:t>(4)尽管委任了联合体牵头人，但联合体各成员在参选、签约与履行合同过程中，仍负有连带的和各自的法律责任。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690"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381" w:type="dxa"/>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报价须知</w:t>
            </w:r>
          </w:p>
        </w:tc>
        <w:tc>
          <w:tcPr>
            <w:tcW w:w="7791" w:type="dxa"/>
            <w:vAlign w:val="center"/>
          </w:tcPr>
          <w:p>
            <w:pPr>
              <w:spacing w:line="360" w:lineRule="auto"/>
              <w:rPr>
                <w:rFonts w:hint="eastAsia" w:ascii="宋体" w:hAnsi="宋体" w:eastAsia="宋体" w:cs="宋体"/>
                <w:color w:val="auto"/>
                <w:sz w:val="24"/>
                <w:szCs w:val="28"/>
              </w:rPr>
            </w:pPr>
            <w:r>
              <w:rPr>
                <w:rFonts w:hint="eastAsia" w:ascii="宋体" w:hAnsi="宋体" w:eastAsia="宋体" w:cs="宋体"/>
                <w:color w:val="auto"/>
                <w:sz w:val="24"/>
                <w:szCs w:val="24"/>
              </w:rPr>
              <w:t>在合规范围内进行报价，报价不合规单位，拒绝其参与比选。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690"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381" w:type="dxa"/>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比选响应文件装订及份数</w:t>
            </w:r>
          </w:p>
        </w:tc>
        <w:tc>
          <w:tcPr>
            <w:tcW w:w="7791" w:type="dxa"/>
            <w:vAlign w:val="center"/>
          </w:tcPr>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5.1比选响应文件正本壹份、副本肆份、电子版壹份（签字盖章的响应文件正本PDF扫描件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U盘），比选响应文件上应明确注明“正本”、“副本”或“电子版本”字样。</w:t>
            </w:r>
          </w:p>
          <w:p>
            <w:pPr>
              <w:autoSpaceDE w:val="0"/>
              <w:autoSpaceDN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5.2比选响应文件应在包装封套上加贴封条，并在封套的封口处加盖参选人单位章，电子文档随同密封。</w:t>
            </w:r>
          </w:p>
          <w:p>
            <w:pPr>
              <w:autoSpaceDE w:val="0"/>
              <w:autoSpaceDN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5.3比选响应文件的封套上应载明：参选项目名称、参选人名称及地址、比选响应文件，并注明在比选开始时间前不得开启。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690"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381" w:type="dxa"/>
            <w:vAlign w:val="center"/>
          </w:tcPr>
          <w:p>
            <w:pPr>
              <w:rPr>
                <w:rFonts w:hint="eastAsia" w:ascii="宋体" w:hAnsi="宋体" w:eastAsia="宋体" w:cs="宋体"/>
                <w:color w:val="auto"/>
                <w:sz w:val="24"/>
                <w:szCs w:val="24"/>
              </w:rPr>
            </w:pPr>
            <w:r>
              <w:rPr>
                <w:rFonts w:hint="eastAsia" w:ascii="宋体" w:hAnsi="宋体" w:eastAsia="宋体" w:cs="宋体"/>
                <w:color w:val="auto"/>
                <w:kern w:val="1"/>
                <w:sz w:val="24"/>
                <w:szCs w:val="24"/>
              </w:rPr>
              <w:t>比选</w:t>
            </w:r>
            <w:r>
              <w:rPr>
                <w:rFonts w:hint="eastAsia" w:ascii="宋体" w:hAnsi="宋体" w:eastAsia="宋体" w:cs="宋体"/>
                <w:color w:val="auto"/>
                <w:sz w:val="24"/>
                <w:szCs w:val="24"/>
              </w:rPr>
              <w:t>响应文件递交</w:t>
            </w:r>
          </w:p>
        </w:tc>
        <w:tc>
          <w:tcPr>
            <w:tcW w:w="7791" w:type="dxa"/>
            <w:vAlign w:val="center"/>
          </w:tcPr>
          <w:p>
            <w:pPr>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color w:val="auto"/>
                <w:sz w:val="24"/>
                <w:szCs w:val="24"/>
              </w:rPr>
              <w:t>比选响应文件递交截止</w:t>
            </w:r>
            <w:r>
              <w:rPr>
                <w:rFonts w:hint="eastAsia" w:ascii="宋体" w:hAnsi="宋体" w:eastAsia="宋体" w:cs="宋体"/>
                <w:color w:val="auto"/>
                <w:kern w:val="0"/>
                <w:sz w:val="24"/>
                <w:szCs w:val="24"/>
                <w:lang w:val="en-US" w:eastAsia="zh-CN"/>
              </w:rPr>
              <w:t>时间：2023年7月28 日16:00(北京时间)。</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递交至：河南招标采购服务有限公司驻马店分公司303会议室（驻马店市文明路与交通路交叉口向西100米路南3楼）。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690"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381" w:type="dxa"/>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比选结果公示</w:t>
            </w:r>
          </w:p>
        </w:tc>
        <w:tc>
          <w:tcPr>
            <w:tcW w:w="7791"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比选结果在驻马店市产业投资集团有限公司官网（http://www.zmdyzkgjt.com/）公示，公示期3个工作日。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690"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1381" w:type="dxa"/>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评选办法</w:t>
            </w:r>
          </w:p>
        </w:tc>
        <w:tc>
          <w:tcPr>
            <w:tcW w:w="7791" w:type="dxa"/>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综合评估法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690" w:type="dxa"/>
            <w:vAlign w:val="center"/>
          </w:tcPr>
          <w:p>
            <w:pPr>
              <w:jc w:val="center"/>
              <w:rPr>
                <w:rFonts w:hint="eastAsia" w:ascii="宋体" w:hAnsi="宋体" w:eastAsia="宋体" w:cs="宋体"/>
                <w:color w:val="auto"/>
                <w:sz w:val="24"/>
                <w:szCs w:val="24"/>
                <w:lang w:val="en-US" w:eastAsia="zh-CN"/>
              </w:rPr>
            </w:pPr>
            <w:bookmarkStart w:id="5" w:name="_Toc69400912"/>
            <w:bookmarkStart w:id="6" w:name="_Toc77544081"/>
            <w:bookmarkStart w:id="7" w:name="_Toc129763147"/>
            <w:bookmarkStart w:id="8" w:name="_Toc30872"/>
            <w:bookmarkStart w:id="9" w:name="_Toc500947205"/>
            <w:r>
              <w:rPr>
                <w:rFonts w:hint="eastAsia" w:ascii="宋体" w:hAnsi="宋体" w:eastAsia="宋体" w:cs="宋体"/>
                <w:color w:val="auto"/>
                <w:sz w:val="24"/>
                <w:szCs w:val="24"/>
                <w:lang w:val="en-US" w:eastAsia="zh-CN"/>
              </w:rPr>
              <w:t>9</w:t>
            </w:r>
          </w:p>
        </w:tc>
        <w:tc>
          <w:tcPr>
            <w:tcW w:w="1381" w:type="dxa"/>
            <w:vAlign w:val="center"/>
          </w:tcPr>
          <w:p>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代理服务费</w:t>
            </w:r>
          </w:p>
        </w:tc>
        <w:tc>
          <w:tcPr>
            <w:tcW w:w="7791" w:type="dxa"/>
            <w:vAlign w:val="center"/>
          </w:tcPr>
          <w:p>
            <w:pPr>
              <w:rPr>
                <w:rFonts w:hint="eastAsia" w:ascii="宋体" w:hAnsi="宋体" w:eastAsia="宋体" w:cs="宋体"/>
                <w:color w:val="auto"/>
                <w:sz w:val="24"/>
                <w:szCs w:val="24"/>
                <w:lang w:eastAsia="zh-CN"/>
              </w:rPr>
            </w:pPr>
            <w:r>
              <w:rPr>
                <w:rFonts w:hint="eastAsia" w:ascii="宋体" w:hAnsi="宋体" w:eastAsia="宋体" w:cs="宋体"/>
                <w:color w:val="auto"/>
                <w:sz w:val="24"/>
                <w:szCs w:val="24"/>
                <w:highlight w:val="none"/>
                <w:lang w:eastAsia="zh-CN"/>
              </w:rPr>
              <w:t>壹万元整（小写：</w:t>
            </w:r>
            <w:r>
              <w:rPr>
                <w:rFonts w:hint="eastAsia" w:ascii="宋体" w:hAnsi="宋体" w:eastAsia="宋体" w:cs="宋体"/>
                <w:color w:val="auto"/>
                <w:sz w:val="24"/>
                <w:szCs w:val="24"/>
                <w:highlight w:val="none"/>
                <w:lang w:val="en-US" w:eastAsia="zh-CN"/>
              </w:rPr>
              <w:t>10000.00</w:t>
            </w:r>
            <w:r>
              <w:rPr>
                <w:rFonts w:hint="eastAsia" w:ascii="宋体" w:hAnsi="宋体" w:eastAsia="宋体" w:cs="宋体"/>
                <w:color w:val="auto"/>
                <w:sz w:val="24"/>
                <w:szCs w:val="24"/>
                <w:highlight w:val="none"/>
                <w:lang w:eastAsia="zh-CN"/>
              </w:rPr>
              <w:t>元），在领取成交通知书前一次性缴纳（不含税）。</w:t>
            </w:r>
          </w:p>
        </w:tc>
      </w:tr>
    </w:tbl>
    <w:p>
      <w:pPr>
        <w:pStyle w:val="22"/>
        <w:spacing w:line="360" w:lineRule="auto"/>
        <w:rPr>
          <w:rFonts w:hint="eastAsia" w:ascii="宋体" w:hAnsi="宋体" w:eastAsia="宋体" w:cs="宋体"/>
          <w:color w:val="auto"/>
        </w:rPr>
      </w:pPr>
    </w:p>
    <w:p>
      <w:pPr>
        <w:pStyle w:val="22"/>
        <w:spacing w:line="360" w:lineRule="auto"/>
        <w:rPr>
          <w:rFonts w:hint="eastAsia" w:ascii="宋体" w:hAnsi="宋体" w:eastAsia="宋体" w:cs="宋体"/>
          <w:color w:val="auto"/>
        </w:rPr>
      </w:pPr>
    </w:p>
    <w:p>
      <w:pPr>
        <w:pStyle w:val="22"/>
        <w:spacing w:line="360" w:lineRule="auto"/>
        <w:rPr>
          <w:rFonts w:hint="eastAsia" w:ascii="宋体" w:hAnsi="宋体" w:eastAsia="宋体" w:cs="宋体"/>
          <w:color w:val="auto"/>
        </w:rPr>
      </w:pPr>
    </w:p>
    <w:p>
      <w:pPr>
        <w:rPr>
          <w:rFonts w:hint="eastAsia"/>
          <w:color w:val="auto"/>
        </w:rPr>
      </w:pPr>
    </w:p>
    <w:p>
      <w:pPr>
        <w:pStyle w:val="22"/>
        <w:spacing w:line="360" w:lineRule="auto"/>
        <w:rPr>
          <w:rFonts w:hint="eastAsia" w:ascii="宋体" w:hAnsi="宋体" w:eastAsia="宋体" w:cs="宋体"/>
          <w:color w:val="auto"/>
        </w:rPr>
      </w:pPr>
      <w:r>
        <w:rPr>
          <w:rFonts w:hint="eastAsia" w:ascii="宋体" w:hAnsi="宋体" w:eastAsia="宋体" w:cs="宋体"/>
          <w:color w:val="auto"/>
        </w:rPr>
        <w:t>一、总则</w:t>
      </w:r>
      <w:bookmarkEnd w:id="5"/>
      <w:bookmarkEnd w:id="6"/>
      <w:bookmarkEnd w:id="7"/>
      <w:bookmarkEnd w:id="8"/>
      <w:bookmarkEnd w:id="9"/>
    </w:p>
    <w:p>
      <w:pPr>
        <w:spacing w:line="360" w:lineRule="auto"/>
        <w:jc w:val="left"/>
        <w:rPr>
          <w:rFonts w:hint="eastAsia" w:ascii="宋体" w:hAnsi="宋体" w:eastAsia="宋体" w:cs="宋体"/>
          <w:b/>
          <w:color w:val="auto"/>
          <w:sz w:val="24"/>
          <w:szCs w:val="24"/>
        </w:rPr>
      </w:pPr>
      <w:r>
        <w:rPr>
          <w:rFonts w:hint="eastAsia" w:ascii="宋体" w:hAnsi="宋体" w:eastAsia="宋体" w:cs="宋体"/>
          <w:b/>
          <w:color w:val="auto"/>
          <w:sz w:val="24"/>
          <w:szCs w:val="24"/>
        </w:rPr>
        <w:t>1.比选项目说明</w:t>
      </w:r>
    </w:p>
    <w:p>
      <w:pPr>
        <w:pStyle w:val="34"/>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项目概况详见《</w:t>
      </w:r>
      <w:r>
        <w:rPr>
          <w:rFonts w:hint="eastAsia" w:ascii="宋体" w:hAnsi="宋体" w:eastAsia="宋体" w:cs="宋体"/>
          <w:color w:val="auto"/>
          <w:kern w:val="0"/>
          <w:sz w:val="24"/>
          <w:szCs w:val="24"/>
        </w:rPr>
        <w:t>参选人</w:t>
      </w:r>
      <w:r>
        <w:rPr>
          <w:rFonts w:hint="eastAsia" w:ascii="宋体" w:hAnsi="宋体" w:eastAsia="宋体" w:cs="宋体"/>
          <w:color w:val="auto"/>
          <w:sz w:val="24"/>
          <w:szCs w:val="24"/>
        </w:rPr>
        <w:t>须知》。</w:t>
      </w:r>
    </w:p>
    <w:p>
      <w:pPr>
        <w:spacing w:line="360" w:lineRule="auto"/>
        <w:jc w:val="left"/>
        <w:rPr>
          <w:rFonts w:hint="eastAsia" w:ascii="宋体" w:hAnsi="宋体" w:eastAsia="宋体" w:cs="宋体"/>
          <w:b/>
          <w:color w:val="auto"/>
          <w:sz w:val="24"/>
          <w:szCs w:val="24"/>
        </w:rPr>
      </w:pPr>
      <w:r>
        <w:rPr>
          <w:rFonts w:hint="eastAsia" w:ascii="宋体" w:hAnsi="宋体" w:eastAsia="宋体" w:cs="宋体"/>
          <w:b/>
          <w:color w:val="auto"/>
          <w:sz w:val="24"/>
          <w:szCs w:val="24"/>
        </w:rPr>
        <w:t>2.定义及解释</w:t>
      </w:r>
    </w:p>
    <w:p>
      <w:pPr>
        <w:pStyle w:val="34"/>
        <w:numPr>
          <w:ilvl w:val="0"/>
          <w:numId w:val="2"/>
        </w:numPr>
        <w:spacing w:line="360" w:lineRule="auto"/>
        <w:ind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项目名称：见《</w:t>
      </w:r>
      <w:r>
        <w:rPr>
          <w:rFonts w:hint="eastAsia" w:ascii="宋体" w:hAnsi="宋体" w:eastAsia="宋体" w:cs="宋体"/>
          <w:color w:val="auto"/>
          <w:kern w:val="0"/>
          <w:sz w:val="24"/>
          <w:szCs w:val="24"/>
        </w:rPr>
        <w:t>参选人</w:t>
      </w:r>
      <w:r>
        <w:rPr>
          <w:rFonts w:hint="eastAsia" w:ascii="宋体" w:hAnsi="宋体" w:eastAsia="宋体" w:cs="宋体"/>
          <w:color w:val="auto"/>
          <w:sz w:val="24"/>
          <w:szCs w:val="24"/>
        </w:rPr>
        <w:t>须知》。</w:t>
      </w:r>
    </w:p>
    <w:p>
      <w:pPr>
        <w:pStyle w:val="34"/>
        <w:numPr>
          <w:ilvl w:val="0"/>
          <w:numId w:val="2"/>
        </w:numPr>
        <w:spacing w:line="360" w:lineRule="auto"/>
        <w:ind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比选人：见《</w:t>
      </w:r>
      <w:r>
        <w:rPr>
          <w:rFonts w:hint="eastAsia" w:ascii="宋体" w:hAnsi="宋体" w:eastAsia="宋体" w:cs="宋体"/>
          <w:color w:val="auto"/>
          <w:kern w:val="0"/>
          <w:sz w:val="24"/>
          <w:szCs w:val="24"/>
        </w:rPr>
        <w:t>参选人</w:t>
      </w:r>
      <w:r>
        <w:rPr>
          <w:rFonts w:hint="eastAsia" w:ascii="宋体" w:hAnsi="宋体" w:eastAsia="宋体" w:cs="宋体"/>
          <w:color w:val="auto"/>
          <w:sz w:val="24"/>
          <w:szCs w:val="24"/>
        </w:rPr>
        <w:t>须知》。</w:t>
      </w:r>
    </w:p>
    <w:p>
      <w:pPr>
        <w:pStyle w:val="34"/>
        <w:numPr>
          <w:ilvl w:val="0"/>
          <w:numId w:val="2"/>
        </w:numPr>
        <w:spacing w:line="360" w:lineRule="auto"/>
        <w:ind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参选人：本次比选对合格参选人的具体要求见《</w:t>
      </w:r>
      <w:r>
        <w:rPr>
          <w:rFonts w:hint="eastAsia" w:ascii="宋体" w:hAnsi="宋体" w:eastAsia="宋体" w:cs="宋体"/>
          <w:color w:val="auto"/>
          <w:kern w:val="0"/>
          <w:sz w:val="24"/>
          <w:szCs w:val="24"/>
        </w:rPr>
        <w:t>参选人</w:t>
      </w:r>
      <w:r>
        <w:rPr>
          <w:rFonts w:hint="eastAsia" w:ascii="宋体" w:hAnsi="宋体" w:eastAsia="宋体" w:cs="宋体"/>
          <w:color w:val="auto"/>
          <w:sz w:val="24"/>
          <w:szCs w:val="24"/>
        </w:rPr>
        <w:t>须知》。</w:t>
      </w:r>
    </w:p>
    <w:p>
      <w:pPr>
        <w:pStyle w:val="34"/>
        <w:numPr>
          <w:ilvl w:val="0"/>
          <w:numId w:val="2"/>
        </w:numPr>
        <w:spacing w:line="360" w:lineRule="auto"/>
        <w:ind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中选人：指经过评选并最终被授予合同的参选人。</w:t>
      </w:r>
    </w:p>
    <w:p>
      <w:pPr>
        <w:pStyle w:val="34"/>
        <w:numPr>
          <w:ilvl w:val="0"/>
          <w:numId w:val="2"/>
        </w:numPr>
        <w:spacing w:line="360" w:lineRule="auto"/>
        <w:ind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比选小组：由比选人</w:t>
      </w:r>
      <w:r>
        <w:rPr>
          <w:rFonts w:hint="eastAsia" w:ascii="宋体" w:hAnsi="宋体" w:eastAsia="宋体" w:cs="宋体"/>
          <w:color w:val="auto"/>
          <w:kern w:val="1"/>
          <w:sz w:val="24"/>
          <w:szCs w:val="24"/>
        </w:rPr>
        <w:t>依法组建的比选小组负责。</w:t>
      </w:r>
    </w:p>
    <w:p>
      <w:pPr>
        <w:spacing w:line="360" w:lineRule="auto"/>
        <w:jc w:val="left"/>
        <w:rPr>
          <w:rFonts w:hint="eastAsia" w:ascii="宋体" w:hAnsi="宋体" w:eastAsia="宋体" w:cs="宋体"/>
          <w:color w:val="auto"/>
          <w:sz w:val="24"/>
          <w:szCs w:val="24"/>
        </w:rPr>
      </w:pPr>
      <w:r>
        <w:rPr>
          <w:rFonts w:hint="eastAsia" w:ascii="宋体" w:hAnsi="宋体" w:eastAsia="宋体" w:cs="宋体"/>
          <w:b/>
          <w:color w:val="auto"/>
          <w:sz w:val="24"/>
          <w:szCs w:val="24"/>
        </w:rPr>
        <w:t>3.合格的参选人：见《参选人须知》。</w:t>
      </w:r>
    </w:p>
    <w:p>
      <w:pPr>
        <w:spacing w:line="360" w:lineRule="auto"/>
        <w:jc w:val="left"/>
        <w:rPr>
          <w:rFonts w:hint="eastAsia" w:ascii="宋体" w:hAnsi="宋体" w:eastAsia="宋体" w:cs="宋体"/>
          <w:b/>
          <w:color w:val="auto"/>
          <w:sz w:val="24"/>
          <w:szCs w:val="24"/>
        </w:rPr>
      </w:pPr>
      <w:r>
        <w:rPr>
          <w:rFonts w:hint="eastAsia" w:ascii="宋体" w:hAnsi="宋体" w:eastAsia="宋体" w:cs="宋体"/>
          <w:b/>
          <w:color w:val="auto"/>
          <w:sz w:val="24"/>
          <w:szCs w:val="24"/>
        </w:rPr>
        <w:t>4.禁止事项</w:t>
      </w:r>
    </w:p>
    <w:p>
      <w:pPr>
        <w:widowControl/>
        <w:numPr>
          <w:ilvl w:val="0"/>
          <w:numId w:val="3"/>
        </w:numPr>
        <w:snapToGrid w:val="0"/>
        <w:spacing w:line="360" w:lineRule="auto"/>
        <w:rPr>
          <w:rFonts w:hint="eastAsia" w:ascii="宋体" w:hAnsi="宋体" w:eastAsia="宋体" w:cs="宋体"/>
          <w:color w:val="auto"/>
          <w:kern w:val="0"/>
          <w:sz w:val="24"/>
          <w:szCs w:val="24"/>
        </w:rPr>
      </w:pPr>
      <w:bookmarkStart w:id="10" w:name="_Toc285803616"/>
      <w:bookmarkStart w:id="11" w:name="_Toc285803921"/>
      <w:bookmarkStart w:id="12" w:name="_Toc254967877"/>
      <w:r>
        <w:rPr>
          <w:rFonts w:hint="eastAsia" w:ascii="宋体" w:hAnsi="宋体" w:eastAsia="宋体" w:cs="宋体"/>
          <w:color w:val="auto"/>
          <w:sz w:val="24"/>
          <w:szCs w:val="24"/>
        </w:rPr>
        <w:t>比选人和参选人不得相互串通损害国家利益，社会公共利益和其他当事人的合法权益；不得以任何手段排斥其他参选人参与竞争</w:t>
      </w:r>
      <w:bookmarkEnd w:id="10"/>
      <w:bookmarkEnd w:id="11"/>
      <w:bookmarkEnd w:id="12"/>
      <w:r>
        <w:rPr>
          <w:rFonts w:hint="eastAsia" w:ascii="宋体" w:hAnsi="宋体" w:eastAsia="宋体" w:cs="宋体"/>
          <w:color w:val="auto"/>
          <w:sz w:val="24"/>
          <w:szCs w:val="24"/>
        </w:rPr>
        <w:t>。</w:t>
      </w:r>
    </w:p>
    <w:p>
      <w:pPr>
        <w:widowControl/>
        <w:numPr>
          <w:ilvl w:val="0"/>
          <w:numId w:val="3"/>
        </w:numPr>
        <w:snapToGrid w:val="0"/>
        <w:spacing w:line="360" w:lineRule="auto"/>
        <w:rPr>
          <w:rFonts w:hint="eastAsia" w:ascii="宋体" w:hAnsi="宋体" w:eastAsia="宋体" w:cs="宋体"/>
          <w:color w:val="auto"/>
          <w:kern w:val="0"/>
          <w:sz w:val="24"/>
          <w:szCs w:val="24"/>
        </w:rPr>
      </w:pPr>
      <w:bookmarkStart w:id="13" w:name="_Toc285803922"/>
      <w:bookmarkStart w:id="14" w:name="_Toc285803617"/>
      <w:bookmarkStart w:id="15" w:name="_Toc254967878"/>
      <w:r>
        <w:rPr>
          <w:rFonts w:hint="eastAsia" w:ascii="宋体" w:hAnsi="宋体" w:eastAsia="宋体" w:cs="宋体"/>
          <w:color w:val="auto"/>
          <w:kern w:val="0"/>
          <w:sz w:val="24"/>
          <w:szCs w:val="24"/>
        </w:rPr>
        <w:t>参选人不得向比选人、比选小组的组成人员行贿或者采取其他不正当手段谋取其他内部信息。</w:t>
      </w:r>
      <w:bookmarkEnd w:id="13"/>
      <w:bookmarkEnd w:id="14"/>
      <w:bookmarkEnd w:id="15"/>
    </w:p>
    <w:p>
      <w:pPr>
        <w:spacing w:line="360" w:lineRule="auto"/>
        <w:jc w:val="left"/>
        <w:rPr>
          <w:rFonts w:hint="eastAsia" w:ascii="宋体" w:hAnsi="宋体" w:eastAsia="宋体" w:cs="宋体"/>
          <w:b/>
          <w:color w:val="auto"/>
          <w:sz w:val="24"/>
          <w:szCs w:val="24"/>
        </w:rPr>
      </w:pPr>
      <w:r>
        <w:rPr>
          <w:rFonts w:hint="eastAsia" w:ascii="宋体" w:hAnsi="宋体" w:eastAsia="宋体" w:cs="宋体"/>
          <w:b/>
          <w:color w:val="auto"/>
          <w:sz w:val="24"/>
          <w:szCs w:val="24"/>
        </w:rPr>
        <w:t>5.保密事项</w:t>
      </w:r>
    </w:p>
    <w:p>
      <w:pPr>
        <w:pStyle w:val="34"/>
        <w:numPr>
          <w:ilvl w:val="0"/>
          <w:numId w:val="4"/>
        </w:numPr>
        <w:spacing w:line="360" w:lineRule="auto"/>
        <w:ind w:firstLineChars="0"/>
        <w:jc w:val="left"/>
        <w:rPr>
          <w:rFonts w:hint="eastAsia" w:ascii="宋体" w:hAnsi="宋体" w:eastAsia="宋体" w:cs="宋体"/>
          <w:color w:val="auto"/>
          <w:sz w:val="24"/>
          <w:szCs w:val="24"/>
        </w:rPr>
      </w:pPr>
      <w:bookmarkStart w:id="16" w:name="_Toc285803620"/>
      <w:bookmarkStart w:id="17" w:name="_Toc285803925"/>
      <w:bookmarkStart w:id="18" w:name="_Toc254967881"/>
      <w:r>
        <w:rPr>
          <w:rFonts w:hint="eastAsia" w:ascii="宋体" w:hAnsi="宋体" w:eastAsia="宋体" w:cs="宋体"/>
          <w:color w:val="auto"/>
          <w:sz w:val="24"/>
          <w:szCs w:val="24"/>
        </w:rPr>
        <w:t>由比选人向参选人提供的所有资料，参选人获得后，应对其保密。除非比选人同意，参选人不得向第三方透露或将其用于本次比选以外的任何用途。</w:t>
      </w:r>
      <w:bookmarkEnd w:id="16"/>
      <w:bookmarkEnd w:id="17"/>
      <w:bookmarkEnd w:id="18"/>
    </w:p>
    <w:p>
      <w:pPr>
        <w:pStyle w:val="22"/>
        <w:spacing w:line="360" w:lineRule="auto"/>
        <w:rPr>
          <w:rFonts w:hint="eastAsia" w:ascii="宋体" w:hAnsi="宋体" w:eastAsia="宋体" w:cs="宋体"/>
          <w:color w:val="auto"/>
          <w:sz w:val="24"/>
          <w:szCs w:val="24"/>
        </w:rPr>
        <w:sectPr>
          <w:pgSz w:w="11906" w:h="16838"/>
          <w:pgMar w:top="1418" w:right="1286" w:bottom="1418" w:left="1440" w:header="851" w:footer="992" w:gutter="0"/>
          <w:cols w:space="720" w:num="1"/>
        </w:sectPr>
      </w:pPr>
      <w:bookmarkStart w:id="19" w:name="_Toc69400913"/>
      <w:bookmarkStart w:id="20" w:name="_Toc500947206"/>
      <w:bookmarkStart w:id="21" w:name="_Toc77544082"/>
      <w:bookmarkStart w:id="22" w:name="_Toc14467"/>
    </w:p>
    <w:p>
      <w:pPr>
        <w:pStyle w:val="22"/>
        <w:spacing w:line="360" w:lineRule="auto"/>
        <w:rPr>
          <w:rFonts w:hint="eastAsia" w:ascii="宋体" w:hAnsi="宋体" w:eastAsia="宋体" w:cs="宋体"/>
          <w:color w:val="auto"/>
        </w:rPr>
      </w:pPr>
      <w:bookmarkStart w:id="23" w:name="_Toc129763148"/>
      <w:r>
        <w:rPr>
          <w:rFonts w:hint="eastAsia" w:ascii="宋体" w:hAnsi="宋体" w:eastAsia="宋体" w:cs="宋体"/>
          <w:color w:val="auto"/>
        </w:rPr>
        <w:t>二、比选文件说明</w:t>
      </w:r>
      <w:bookmarkEnd w:id="19"/>
      <w:bookmarkEnd w:id="20"/>
      <w:bookmarkEnd w:id="21"/>
      <w:bookmarkEnd w:id="22"/>
      <w:bookmarkEnd w:id="23"/>
    </w:p>
    <w:p>
      <w:pPr>
        <w:spacing w:line="360" w:lineRule="auto"/>
        <w:jc w:val="left"/>
        <w:rPr>
          <w:rFonts w:hint="eastAsia" w:ascii="宋体" w:hAnsi="宋体" w:eastAsia="宋体" w:cs="宋体"/>
          <w:b/>
          <w:color w:val="auto"/>
          <w:sz w:val="24"/>
          <w:szCs w:val="24"/>
        </w:rPr>
      </w:pPr>
      <w:r>
        <w:rPr>
          <w:rFonts w:hint="eastAsia" w:ascii="宋体" w:hAnsi="宋体" w:eastAsia="宋体" w:cs="宋体"/>
          <w:b/>
          <w:color w:val="auto"/>
          <w:sz w:val="24"/>
          <w:szCs w:val="24"/>
        </w:rPr>
        <w:t>6.比选文件的内容</w:t>
      </w:r>
    </w:p>
    <w:p>
      <w:pPr>
        <w:pStyle w:val="34"/>
        <w:numPr>
          <w:ilvl w:val="0"/>
          <w:numId w:val="5"/>
        </w:numPr>
        <w:spacing w:line="360" w:lineRule="auto"/>
        <w:ind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比选文件包括：</w:t>
      </w:r>
    </w:p>
    <w:p>
      <w:pPr>
        <w:numPr>
          <w:ilvl w:val="0"/>
          <w:numId w:val="6"/>
        </w:num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比选公告</w:t>
      </w:r>
    </w:p>
    <w:p>
      <w:pPr>
        <w:numPr>
          <w:ilvl w:val="0"/>
          <w:numId w:val="6"/>
        </w:num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参选人须知</w:t>
      </w:r>
    </w:p>
    <w:p>
      <w:pPr>
        <w:numPr>
          <w:ilvl w:val="0"/>
          <w:numId w:val="6"/>
        </w:num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比选文件格式</w:t>
      </w:r>
    </w:p>
    <w:p>
      <w:pPr>
        <w:numPr>
          <w:ilvl w:val="0"/>
          <w:numId w:val="6"/>
        </w:num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评选办法</w:t>
      </w:r>
    </w:p>
    <w:p>
      <w:pPr>
        <w:numPr>
          <w:ilvl w:val="0"/>
          <w:numId w:val="6"/>
        </w:num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其他事项声明</w:t>
      </w:r>
    </w:p>
    <w:p>
      <w:pPr>
        <w:numPr>
          <w:ilvl w:val="0"/>
          <w:numId w:val="6"/>
        </w:num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项目需求</w:t>
      </w:r>
    </w:p>
    <w:p>
      <w:pPr>
        <w:pStyle w:val="34"/>
        <w:numPr>
          <w:ilvl w:val="0"/>
          <w:numId w:val="5"/>
        </w:numPr>
        <w:spacing w:line="360" w:lineRule="auto"/>
        <w:ind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参选人应仔细阅读比选文件的所有内容，按照比选文件要求提交比选响应文件，并保证所提交的全部资料的真实性,比选人如发现比选响应文件内容虚假，造成的不利后果将由参选人自行承担。</w:t>
      </w:r>
    </w:p>
    <w:p>
      <w:pPr>
        <w:pStyle w:val="34"/>
        <w:numPr>
          <w:ilvl w:val="0"/>
          <w:numId w:val="5"/>
        </w:numPr>
        <w:spacing w:line="360" w:lineRule="auto"/>
        <w:ind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参选人应认真检查比选文件是否完整，若发现有缺页或附件不全时，应及时向比选人提出，以便补齐，否则由此产生的后果，由参选人自行承担。</w:t>
      </w:r>
    </w:p>
    <w:p>
      <w:pPr>
        <w:spacing w:line="360" w:lineRule="auto"/>
        <w:jc w:val="left"/>
        <w:rPr>
          <w:rFonts w:hint="eastAsia" w:ascii="宋体" w:hAnsi="宋体" w:eastAsia="宋体" w:cs="宋体"/>
          <w:b/>
          <w:color w:val="auto"/>
          <w:sz w:val="24"/>
          <w:szCs w:val="24"/>
        </w:rPr>
      </w:pPr>
      <w:r>
        <w:rPr>
          <w:rFonts w:hint="eastAsia" w:ascii="宋体" w:hAnsi="宋体" w:eastAsia="宋体" w:cs="宋体"/>
          <w:b/>
          <w:color w:val="auto"/>
          <w:sz w:val="24"/>
          <w:szCs w:val="24"/>
        </w:rPr>
        <w:t>7.比选文件的解释与澄清</w:t>
      </w:r>
    </w:p>
    <w:p>
      <w:pPr>
        <w:pStyle w:val="34"/>
        <w:widowControl/>
        <w:numPr>
          <w:ilvl w:val="0"/>
          <w:numId w:val="7"/>
        </w:numPr>
        <w:snapToGrid w:val="0"/>
        <w:spacing w:line="360" w:lineRule="auto"/>
        <w:ind w:firstLineChars="0"/>
        <w:rPr>
          <w:rFonts w:hint="eastAsia" w:ascii="宋体" w:hAnsi="宋体" w:eastAsia="宋体" w:cs="宋体"/>
          <w:color w:val="auto"/>
          <w:sz w:val="24"/>
          <w:szCs w:val="24"/>
        </w:rPr>
      </w:pPr>
      <w:r>
        <w:rPr>
          <w:rFonts w:hint="eastAsia" w:ascii="宋体" w:hAnsi="宋体" w:eastAsia="宋体" w:cs="宋体"/>
          <w:color w:val="auto"/>
          <w:sz w:val="24"/>
          <w:szCs w:val="24"/>
        </w:rPr>
        <w:t>比选人对已发出的比选文件进行必要的澄清或者修改的，应当以书面形式通知所有比选文件收受人。该澄清或者修改的内容为比选文件的组成部分。</w:t>
      </w:r>
    </w:p>
    <w:p>
      <w:pPr>
        <w:pStyle w:val="34"/>
        <w:widowControl/>
        <w:numPr>
          <w:ilvl w:val="0"/>
          <w:numId w:val="7"/>
        </w:numPr>
        <w:snapToGrid w:val="0"/>
        <w:spacing w:line="360" w:lineRule="auto"/>
        <w:ind w:firstLineChars="0"/>
        <w:rPr>
          <w:rFonts w:hint="eastAsia" w:ascii="宋体" w:hAnsi="宋体" w:eastAsia="宋体" w:cs="宋体"/>
          <w:color w:val="auto"/>
          <w:sz w:val="24"/>
          <w:szCs w:val="24"/>
        </w:rPr>
      </w:pPr>
      <w:r>
        <w:rPr>
          <w:rFonts w:hint="eastAsia" w:ascii="宋体" w:hAnsi="宋体" w:eastAsia="宋体" w:cs="宋体"/>
          <w:color w:val="auto"/>
          <w:sz w:val="24"/>
          <w:szCs w:val="24"/>
        </w:rPr>
        <w:t>参选人在收到比选人发给的任何澄清和修改文件时，都应在收到后立即以书面形式向比选人确认。</w:t>
      </w:r>
    </w:p>
    <w:p>
      <w:pPr>
        <w:pStyle w:val="34"/>
        <w:widowControl/>
        <w:numPr>
          <w:ilvl w:val="0"/>
          <w:numId w:val="7"/>
        </w:numPr>
        <w:snapToGrid w:val="0"/>
        <w:spacing w:line="360" w:lineRule="auto"/>
        <w:ind w:firstLineChars="0"/>
        <w:rPr>
          <w:rFonts w:hint="eastAsia" w:ascii="宋体" w:hAnsi="宋体" w:eastAsia="宋体" w:cs="宋体"/>
          <w:color w:val="auto"/>
          <w:sz w:val="24"/>
          <w:szCs w:val="24"/>
        </w:rPr>
      </w:pPr>
      <w:r>
        <w:rPr>
          <w:rFonts w:hint="eastAsia" w:ascii="宋体" w:hAnsi="宋体" w:eastAsia="宋体" w:cs="宋体"/>
          <w:color w:val="auto"/>
          <w:sz w:val="24"/>
          <w:szCs w:val="24"/>
        </w:rPr>
        <w:t>为使参选人准备比选时有充分时间对比选文件的修改部分进行研究，比选人可自行决定是否延长比选截止日期。</w:t>
      </w:r>
    </w:p>
    <w:p>
      <w:pPr>
        <w:pStyle w:val="22"/>
        <w:spacing w:line="360" w:lineRule="auto"/>
        <w:rPr>
          <w:rFonts w:hint="eastAsia" w:ascii="宋体" w:hAnsi="宋体" w:eastAsia="宋体" w:cs="宋体"/>
          <w:color w:val="auto"/>
        </w:rPr>
        <w:sectPr>
          <w:pgSz w:w="11906" w:h="16838"/>
          <w:pgMar w:top="1418" w:right="1286" w:bottom="1418" w:left="1440" w:header="851" w:footer="992" w:gutter="0"/>
          <w:cols w:space="720" w:num="1"/>
        </w:sectPr>
      </w:pPr>
      <w:bookmarkStart w:id="24" w:name="_Toc500947207"/>
      <w:bookmarkStart w:id="25" w:name="_Toc77544083"/>
      <w:bookmarkStart w:id="26" w:name="_Toc69400914"/>
      <w:bookmarkStart w:id="27" w:name="_Toc5227"/>
    </w:p>
    <w:p>
      <w:pPr>
        <w:pStyle w:val="22"/>
        <w:spacing w:line="360" w:lineRule="auto"/>
        <w:rPr>
          <w:rFonts w:hint="eastAsia" w:ascii="宋体" w:hAnsi="宋体" w:eastAsia="宋体" w:cs="宋体"/>
          <w:color w:val="auto"/>
        </w:rPr>
      </w:pPr>
      <w:bookmarkStart w:id="28" w:name="_Toc129763149"/>
      <w:r>
        <w:rPr>
          <w:rFonts w:hint="eastAsia" w:ascii="宋体" w:hAnsi="宋体" w:eastAsia="宋体" w:cs="宋体"/>
          <w:color w:val="auto"/>
        </w:rPr>
        <w:t>三、比选响应文件</w:t>
      </w:r>
      <w:bookmarkEnd w:id="24"/>
      <w:r>
        <w:rPr>
          <w:rFonts w:hint="eastAsia" w:ascii="宋体" w:hAnsi="宋体" w:eastAsia="宋体" w:cs="宋体"/>
          <w:color w:val="auto"/>
        </w:rPr>
        <w:t>要求</w:t>
      </w:r>
      <w:bookmarkEnd w:id="25"/>
      <w:bookmarkEnd w:id="26"/>
      <w:bookmarkEnd w:id="27"/>
      <w:bookmarkEnd w:id="28"/>
    </w:p>
    <w:p>
      <w:pPr>
        <w:spacing w:line="360" w:lineRule="auto"/>
        <w:jc w:val="left"/>
        <w:rPr>
          <w:rFonts w:hint="eastAsia" w:ascii="宋体" w:hAnsi="宋体" w:eastAsia="宋体" w:cs="宋体"/>
          <w:b/>
          <w:color w:val="auto"/>
          <w:sz w:val="24"/>
          <w:szCs w:val="24"/>
        </w:rPr>
      </w:pPr>
      <w:r>
        <w:rPr>
          <w:rFonts w:hint="eastAsia" w:ascii="宋体" w:hAnsi="宋体" w:eastAsia="宋体" w:cs="宋体"/>
          <w:b/>
          <w:color w:val="auto"/>
          <w:sz w:val="24"/>
          <w:szCs w:val="24"/>
        </w:rPr>
        <w:t>8.比选响应文件的组成</w:t>
      </w:r>
    </w:p>
    <w:p>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比选响应文件应由基本文件、综合实力和资质文件、承销债券业绩情况文件、发行方案与团队文件以及服务承诺等组成。</w:t>
      </w:r>
    </w:p>
    <w:p>
      <w:pPr>
        <w:pStyle w:val="34"/>
        <w:numPr>
          <w:ilvl w:val="0"/>
          <w:numId w:val="8"/>
        </w:numPr>
        <w:spacing w:line="360" w:lineRule="auto"/>
        <w:ind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比选基本文件</w:t>
      </w:r>
    </w:p>
    <w:p>
      <w:pPr>
        <w:pStyle w:val="34"/>
        <w:spacing w:line="360" w:lineRule="auto"/>
        <w:ind w:left="42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包括营业执照（正副本）复印件、法定代表人授权委托书等（格式见第三章）。</w:t>
      </w:r>
    </w:p>
    <w:p>
      <w:pPr>
        <w:pStyle w:val="34"/>
        <w:numPr>
          <w:ilvl w:val="0"/>
          <w:numId w:val="8"/>
        </w:numPr>
        <w:spacing w:line="360" w:lineRule="auto"/>
        <w:ind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综合实力和资质文件包括但不限于：</w:t>
      </w:r>
    </w:p>
    <w:p>
      <w:pPr>
        <w:pStyle w:val="34"/>
        <w:numPr>
          <w:ilvl w:val="0"/>
          <w:numId w:val="9"/>
        </w:numPr>
        <w:spacing w:line="360" w:lineRule="auto"/>
        <w:ind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参选人基本情况，包括但不限于成立时间、注册资本、股本结构情况。</w:t>
      </w:r>
    </w:p>
    <w:p>
      <w:pPr>
        <w:pStyle w:val="34"/>
        <w:numPr>
          <w:ilvl w:val="0"/>
          <w:numId w:val="9"/>
        </w:numPr>
        <w:spacing w:line="360" w:lineRule="auto"/>
        <w:ind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相关资质证书或证明材料，包括营业执照、可以开展非金融企业债务融资工具主承销业务资格、银行类比选申请人如为分行或支行，必须提供总行出具的授权等。</w:t>
      </w:r>
    </w:p>
    <w:p>
      <w:pPr>
        <w:pStyle w:val="34"/>
        <w:numPr>
          <w:ilvl w:val="0"/>
          <w:numId w:val="8"/>
        </w:numPr>
        <w:spacing w:line="360" w:lineRule="auto"/>
        <w:ind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发行方案与团队成员介绍包括但不限于：</w:t>
      </w:r>
    </w:p>
    <w:p>
      <w:pPr>
        <w:pStyle w:val="34"/>
        <w:spacing w:line="360" w:lineRule="auto"/>
        <w:ind w:left="425"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8.3.1   近期宏观经济及债券市场情况分析，债券市场行情分析和预测。</w:t>
      </w:r>
    </w:p>
    <w:p>
      <w:pPr>
        <w:pStyle w:val="34"/>
        <w:spacing w:line="360" w:lineRule="auto"/>
        <w:ind w:left="425"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8.3.2   服务方案：包括但不限于整个发行方案；发行额度、发行时间、发行期限；与监管机构的沟通；发行成功保障措施，发行利率预测，工作计划与流程等。</w:t>
      </w:r>
    </w:p>
    <w:p>
      <w:pPr>
        <w:pStyle w:val="34"/>
        <w:spacing w:line="360" w:lineRule="auto"/>
        <w:ind w:left="425"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8.3.3   保障措施：确保比选人债券发行成功的各种措施。</w:t>
      </w:r>
    </w:p>
    <w:p>
      <w:pPr>
        <w:pStyle w:val="34"/>
        <w:spacing w:line="360" w:lineRule="auto"/>
        <w:ind w:left="425"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8.3.4   服务团队情况：包括为本项目配备的团队成员的基本信息、在本项目中的角色、团队主要成员主导过的项目情况。</w:t>
      </w:r>
    </w:p>
    <w:p>
      <w:pPr>
        <w:pStyle w:val="34"/>
        <w:spacing w:line="360" w:lineRule="auto"/>
        <w:ind w:left="425"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8.3.5   其他资料。</w:t>
      </w:r>
    </w:p>
    <w:p>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服务方案、服务团队情况介绍由参选人根据综合评审标准要求编写，格式自拟。</w:t>
      </w:r>
    </w:p>
    <w:p>
      <w:pPr>
        <w:pStyle w:val="34"/>
        <w:numPr>
          <w:ilvl w:val="0"/>
          <w:numId w:val="8"/>
        </w:numPr>
        <w:spacing w:line="360" w:lineRule="auto"/>
        <w:ind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服务承诺（格式见第三章）。</w:t>
      </w:r>
    </w:p>
    <w:p>
      <w:pPr>
        <w:spacing w:line="360" w:lineRule="auto"/>
        <w:jc w:val="left"/>
        <w:rPr>
          <w:rFonts w:hint="eastAsia" w:ascii="宋体" w:hAnsi="宋体" w:eastAsia="宋体" w:cs="宋体"/>
          <w:b/>
          <w:color w:val="auto"/>
          <w:sz w:val="24"/>
          <w:szCs w:val="24"/>
        </w:rPr>
      </w:pPr>
      <w:r>
        <w:rPr>
          <w:rFonts w:hint="eastAsia" w:ascii="宋体" w:hAnsi="宋体" w:eastAsia="宋体" w:cs="宋体"/>
          <w:b/>
          <w:color w:val="auto"/>
          <w:sz w:val="24"/>
          <w:szCs w:val="24"/>
        </w:rPr>
        <w:t>9.报价须知</w:t>
      </w:r>
    </w:p>
    <w:p>
      <w:pPr>
        <w:pStyle w:val="34"/>
        <w:numPr>
          <w:ilvl w:val="0"/>
          <w:numId w:val="10"/>
        </w:numPr>
        <w:spacing w:line="360" w:lineRule="auto"/>
        <w:ind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参选人须就</w:t>
      </w:r>
      <w:r>
        <w:rPr>
          <w:rFonts w:hint="eastAsia" w:ascii="宋体" w:hAnsi="宋体" w:eastAsia="宋体" w:cs="宋体"/>
          <w:color w:val="auto"/>
          <w:sz w:val="24"/>
          <w:szCs w:val="24"/>
          <w:lang w:eastAsia="zh-CN"/>
        </w:rPr>
        <w:t>驻马店市发展投资集团有限公司选聘2023年公开发行短期融资券或超短期融资券主承销商项目</w:t>
      </w:r>
      <w:r>
        <w:rPr>
          <w:rFonts w:hint="eastAsia" w:ascii="宋体" w:hAnsi="宋体" w:eastAsia="宋体" w:cs="宋体"/>
          <w:color w:val="auto"/>
          <w:sz w:val="24"/>
          <w:szCs w:val="24"/>
        </w:rPr>
        <w:t>比选的承销费率进行报价，其中承销费以实际发行的金额为基数。</w:t>
      </w:r>
    </w:p>
    <w:p>
      <w:pPr>
        <w:pStyle w:val="34"/>
        <w:numPr>
          <w:ilvl w:val="0"/>
          <w:numId w:val="10"/>
        </w:numPr>
        <w:spacing w:line="360" w:lineRule="auto"/>
        <w:ind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报价的价格应包括为本项目提供的所有服务的费用，包括承销费、提供服务的所有人员费用、税费、差旅费和其他杂费等。本公司除报价外不再负担其他费用（按规定应由发行人承担的证券登记托管费、公告费、上市等费用除外）。</w:t>
      </w:r>
    </w:p>
    <w:p>
      <w:pPr>
        <w:pStyle w:val="34"/>
        <w:numPr>
          <w:ilvl w:val="0"/>
          <w:numId w:val="10"/>
        </w:numPr>
        <w:spacing w:line="360" w:lineRule="auto"/>
        <w:ind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禁止参选人恶意报价。如参选人恶意报价的，经比选小组认定，参选报价评分为0分。</w:t>
      </w:r>
    </w:p>
    <w:p>
      <w:pPr>
        <w:spacing w:line="360" w:lineRule="auto"/>
        <w:jc w:val="left"/>
        <w:rPr>
          <w:rFonts w:hint="eastAsia" w:ascii="宋体" w:hAnsi="宋体" w:eastAsia="宋体" w:cs="宋体"/>
          <w:b/>
          <w:color w:val="auto"/>
          <w:sz w:val="24"/>
          <w:szCs w:val="24"/>
        </w:rPr>
      </w:pPr>
      <w:r>
        <w:rPr>
          <w:rFonts w:hint="eastAsia" w:ascii="宋体" w:hAnsi="宋体" w:eastAsia="宋体" w:cs="宋体"/>
          <w:b/>
          <w:color w:val="auto"/>
          <w:sz w:val="24"/>
          <w:szCs w:val="24"/>
        </w:rPr>
        <w:t>10.比选文件有效期</w:t>
      </w:r>
    </w:p>
    <w:p>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自规定的比选截止日期算起，比选文件有效期为60日历天。</w:t>
      </w:r>
    </w:p>
    <w:p>
      <w:pPr>
        <w:spacing w:line="360" w:lineRule="auto"/>
        <w:jc w:val="left"/>
        <w:rPr>
          <w:rFonts w:hint="eastAsia" w:ascii="宋体" w:hAnsi="宋体" w:eastAsia="宋体" w:cs="宋体"/>
          <w:b/>
          <w:color w:val="auto"/>
          <w:sz w:val="24"/>
          <w:szCs w:val="24"/>
        </w:rPr>
      </w:pPr>
      <w:r>
        <w:rPr>
          <w:rFonts w:hint="eastAsia" w:ascii="宋体" w:hAnsi="宋体" w:eastAsia="宋体" w:cs="宋体"/>
          <w:b/>
          <w:color w:val="auto"/>
          <w:sz w:val="24"/>
          <w:szCs w:val="24"/>
        </w:rPr>
        <w:t>11.比选响应文件的编制</w:t>
      </w:r>
    </w:p>
    <w:p>
      <w:pPr>
        <w:pStyle w:val="34"/>
        <w:numPr>
          <w:ilvl w:val="0"/>
          <w:numId w:val="11"/>
        </w:numPr>
        <w:spacing w:line="360" w:lineRule="auto"/>
        <w:ind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参选人应认真审阅全面理解比选文件中所有的须知、条件、格式、条款、规范，文件应当对实</w:t>
      </w:r>
    </w:p>
    <w:p>
      <w:pPr>
        <w:pStyle w:val="34"/>
        <w:spacing w:line="360" w:lineRule="auto"/>
        <w:ind w:left="420" w:firstLine="120" w:firstLineChars="50"/>
        <w:jc w:val="left"/>
        <w:rPr>
          <w:rFonts w:hint="eastAsia" w:ascii="宋体" w:hAnsi="宋体" w:eastAsia="宋体" w:cs="宋体"/>
          <w:color w:val="auto"/>
          <w:sz w:val="24"/>
          <w:szCs w:val="24"/>
        </w:rPr>
      </w:pPr>
      <w:r>
        <w:rPr>
          <w:rFonts w:hint="eastAsia" w:ascii="宋体" w:hAnsi="宋体" w:eastAsia="宋体" w:cs="宋体"/>
          <w:color w:val="auto"/>
          <w:sz w:val="24"/>
          <w:szCs w:val="24"/>
        </w:rPr>
        <w:t>质性内容做出响应，不符合比选文件实质性要求的比选响应文件将被拒绝。</w:t>
      </w:r>
    </w:p>
    <w:p>
      <w:pPr>
        <w:pStyle w:val="34"/>
        <w:numPr>
          <w:ilvl w:val="0"/>
          <w:numId w:val="11"/>
        </w:numPr>
        <w:spacing w:line="360" w:lineRule="auto"/>
        <w:ind w:firstLineChars="0"/>
        <w:rPr>
          <w:rFonts w:hint="eastAsia" w:ascii="宋体" w:hAnsi="宋体" w:eastAsia="宋体" w:cs="宋体"/>
          <w:color w:val="auto"/>
          <w:sz w:val="24"/>
          <w:szCs w:val="24"/>
        </w:rPr>
      </w:pPr>
      <w:r>
        <w:rPr>
          <w:rFonts w:hint="eastAsia" w:ascii="宋体" w:hAnsi="宋体" w:eastAsia="宋体" w:cs="宋体"/>
          <w:color w:val="auto"/>
          <w:sz w:val="24"/>
          <w:szCs w:val="24"/>
        </w:rPr>
        <w:t>比选响应文件的制作、不同文字文本的释义均以简体中文文本为准，重要的外文资料须附有中文译注。</w:t>
      </w:r>
    </w:p>
    <w:p>
      <w:pPr>
        <w:pStyle w:val="34"/>
        <w:numPr>
          <w:ilvl w:val="0"/>
          <w:numId w:val="11"/>
        </w:numPr>
        <w:spacing w:line="360" w:lineRule="auto"/>
        <w:ind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比选响应文件所使用的公章必须为企业法人公章，且与参选人名称一致，不能以其他业务章或附属机构章代替。需签名之处必须由法定代表人或其委托代理人签署。</w:t>
      </w:r>
    </w:p>
    <w:p>
      <w:pPr>
        <w:pStyle w:val="34"/>
        <w:numPr>
          <w:ilvl w:val="0"/>
          <w:numId w:val="11"/>
        </w:numPr>
        <w:spacing w:line="360" w:lineRule="auto"/>
        <w:ind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比选响应文件正本一式壹份，副本一式肆份、电子版壹份（签字盖章的响应文件正本PDF扫描件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U盘），每一份比选响应文件上应明确注明“正本”、“副本”或“电子版本”字样。</w:t>
      </w:r>
    </w:p>
    <w:p>
      <w:pPr>
        <w:pStyle w:val="34"/>
        <w:numPr>
          <w:ilvl w:val="0"/>
          <w:numId w:val="11"/>
        </w:numPr>
        <w:spacing w:line="360" w:lineRule="auto"/>
        <w:ind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比选响应文件不得涂改和增删。</w:t>
      </w:r>
    </w:p>
    <w:p>
      <w:pPr>
        <w:spacing w:line="360" w:lineRule="auto"/>
        <w:jc w:val="left"/>
        <w:rPr>
          <w:rFonts w:hint="eastAsia" w:ascii="宋体" w:hAnsi="宋体" w:eastAsia="宋体" w:cs="宋体"/>
          <w:bCs/>
          <w:color w:val="auto"/>
          <w:sz w:val="24"/>
          <w:szCs w:val="24"/>
        </w:rPr>
      </w:pPr>
      <w:r>
        <w:rPr>
          <w:rFonts w:hint="eastAsia" w:ascii="宋体" w:hAnsi="宋体" w:eastAsia="宋体" w:cs="宋体"/>
          <w:b/>
          <w:color w:val="auto"/>
          <w:sz w:val="24"/>
          <w:szCs w:val="24"/>
        </w:rPr>
        <w:t>12.比选响应文件差异修正准则</w:t>
      </w:r>
    </w:p>
    <w:p>
      <w:pPr>
        <w:pStyle w:val="34"/>
        <w:numPr>
          <w:ilvl w:val="0"/>
          <w:numId w:val="12"/>
        </w:numPr>
        <w:spacing w:line="360" w:lineRule="auto"/>
        <w:ind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正本和副本之间内容有差异，以正本为准。</w:t>
      </w:r>
    </w:p>
    <w:p>
      <w:pPr>
        <w:pStyle w:val="34"/>
        <w:numPr>
          <w:ilvl w:val="0"/>
          <w:numId w:val="12"/>
        </w:numPr>
        <w:spacing w:line="360" w:lineRule="auto"/>
        <w:ind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中文大写与小写数值标注价格不一致，以中文大写表示的为准。</w:t>
      </w:r>
    </w:p>
    <w:p>
      <w:pPr>
        <w:pStyle w:val="34"/>
        <w:numPr>
          <w:ilvl w:val="0"/>
          <w:numId w:val="12"/>
        </w:numPr>
        <w:spacing w:line="360" w:lineRule="auto"/>
        <w:ind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比选响应文件描述内容与原始材料引述内容不一致时，以原始材料内容为准。</w:t>
      </w:r>
    </w:p>
    <w:p>
      <w:pPr>
        <w:pStyle w:val="22"/>
        <w:spacing w:line="360" w:lineRule="auto"/>
        <w:rPr>
          <w:rFonts w:hint="eastAsia" w:ascii="宋体" w:hAnsi="宋体" w:eastAsia="宋体" w:cs="宋体"/>
          <w:color w:val="auto"/>
        </w:rPr>
        <w:sectPr>
          <w:pgSz w:w="11906" w:h="16838"/>
          <w:pgMar w:top="1418" w:right="1286" w:bottom="1418" w:left="1440" w:header="851" w:footer="992" w:gutter="0"/>
          <w:cols w:space="720" w:num="1"/>
        </w:sectPr>
      </w:pPr>
      <w:bookmarkStart w:id="29" w:name="_Toc500947208"/>
      <w:bookmarkStart w:id="30" w:name="_Toc69400915"/>
      <w:bookmarkStart w:id="31" w:name="_Toc77544084"/>
      <w:bookmarkStart w:id="32" w:name="_Toc16554"/>
    </w:p>
    <w:p>
      <w:pPr>
        <w:pStyle w:val="22"/>
        <w:spacing w:line="360" w:lineRule="auto"/>
        <w:rPr>
          <w:rFonts w:hint="eastAsia" w:ascii="宋体" w:hAnsi="宋体" w:eastAsia="宋体" w:cs="宋体"/>
          <w:color w:val="auto"/>
        </w:rPr>
      </w:pPr>
      <w:bookmarkStart w:id="33" w:name="_Toc129763150"/>
      <w:r>
        <w:rPr>
          <w:rFonts w:hint="eastAsia" w:ascii="宋体" w:hAnsi="宋体" w:eastAsia="宋体" w:cs="宋体"/>
          <w:color w:val="auto"/>
        </w:rPr>
        <w:t>四、比选响应文件的递交</w:t>
      </w:r>
      <w:bookmarkEnd w:id="29"/>
      <w:bookmarkEnd w:id="30"/>
      <w:bookmarkEnd w:id="31"/>
      <w:bookmarkEnd w:id="32"/>
      <w:bookmarkEnd w:id="33"/>
    </w:p>
    <w:p>
      <w:pPr>
        <w:spacing w:line="360" w:lineRule="auto"/>
        <w:jc w:val="left"/>
        <w:rPr>
          <w:rFonts w:hint="eastAsia" w:ascii="宋体" w:hAnsi="宋体" w:eastAsia="宋体" w:cs="宋体"/>
          <w:b/>
          <w:color w:val="auto"/>
          <w:sz w:val="24"/>
          <w:szCs w:val="24"/>
        </w:rPr>
      </w:pPr>
      <w:r>
        <w:rPr>
          <w:rFonts w:hint="eastAsia" w:ascii="宋体" w:hAnsi="宋体" w:eastAsia="宋体" w:cs="宋体"/>
          <w:b/>
          <w:color w:val="auto"/>
          <w:sz w:val="24"/>
          <w:szCs w:val="24"/>
        </w:rPr>
        <w:t>13.比选响应文件的密封和标记</w:t>
      </w:r>
    </w:p>
    <w:p>
      <w:pPr>
        <w:pStyle w:val="34"/>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13.1比选响应文件应在包装封套上加贴封条，并在封套的封口处加盖参选人单位章，电子文档随同密封。</w:t>
      </w:r>
    </w:p>
    <w:p>
      <w:pPr>
        <w:pStyle w:val="34"/>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13.2比选响应文件的封套上应载明：参选项目名称、参选人名称及地址、比选响应文件，并注明在比选开始时间前不得开启。</w:t>
      </w:r>
    </w:p>
    <w:p>
      <w:pPr>
        <w:pStyle w:val="34"/>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13.3如果因密封不严、标记不清而造成比选响应文件过早启封、失密等情况，比选人概不负责。</w:t>
      </w:r>
    </w:p>
    <w:p>
      <w:pPr>
        <w:spacing w:line="360" w:lineRule="auto"/>
        <w:jc w:val="left"/>
        <w:rPr>
          <w:rFonts w:hint="eastAsia" w:ascii="宋体" w:hAnsi="宋体" w:eastAsia="宋体" w:cs="宋体"/>
          <w:b/>
          <w:color w:val="auto"/>
          <w:sz w:val="24"/>
          <w:szCs w:val="24"/>
        </w:rPr>
      </w:pPr>
      <w:r>
        <w:rPr>
          <w:rFonts w:hint="eastAsia" w:ascii="宋体" w:hAnsi="宋体" w:eastAsia="宋体" w:cs="宋体"/>
          <w:b/>
          <w:color w:val="auto"/>
          <w:sz w:val="24"/>
          <w:szCs w:val="24"/>
        </w:rPr>
        <w:t>14．比选响应文件的递交</w:t>
      </w:r>
    </w:p>
    <w:p>
      <w:pPr>
        <w:pStyle w:val="34"/>
        <w:numPr>
          <w:ilvl w:val="0"/>
          <w:numId w:val="13"/>
        </w:numPr>
        <w:spacing w:line="360" w:lineRule="auto"/>
        <w:ind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参选人应按《参选人须知》所述地点、时间之前将完整的比选响应文件递交。</w:t>
      </w:r>
    </w:p>
    <w:p>
      <w:pPr>
        <w:pStyle w:val="34"/>
        <w:numPr>
          <w:ilvl w:val="0"/>
          <w:numId w:val="13"/>
        </w:numPr>
        <w:spacing w:line="360" w:lineRule="auto"/>
        <w:ind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逾期送达的或者未送达指定地点的比选响应文件，比选人不予受理。</w:t>
      </w:r>
    </w:p>
    <w:p>
      <w:pPr>
        <w:pStyle w:val="34"/>
        <w:numPr>
          <w:ilvl w:val="0"/>
          <w:numId w:val="13"/>
        </w:numPr>
        <w:spacing w:line="360" w:lineRule="auto"/>
        <w:ind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除比选文件另有规定外，参选人所递交的文件不予退还。</w:t>
      </w:r>
    </w:p>
    <w:p>
      <w:pPr>
        <w:pStyle w:val="22"/>
        <w:spacing w:line="360" w:lineRule="auto"/>
        <w:rPr>
          <w:rFonts w:hint="eastAsia" w:ascii="宋体" w:hAnsi="宋体" w:eastAsia="宋体" w:cs="宋体"/>
          <w:color w:val="auto"/>
        </w:rPr>
        <w:sectPr>
          <w:pgSz w:w="11906" w:h="16838"/>
          <w:pgMar w:top="1418" w:right="1286" w:bottom="1418" w:left="1440" w:header="851" w:footer="992" w:gutter="0"/>
          <w:cols w:space="720" w:num="1"/>
        </w:sectPr>
      </w:pPr>
      <w:bookmarkStart w:id="34" w:name="_Toc77544085"/>
      <w:bookmarkStart w:id="35" w:name="_Toc69400916"/>
      <w:bookmarkStart w:id="36" w:name="_Toc823"/>
      <w:bookmarkStart w:id="37" w:name="_Toc500947209"/>
    </w:p>
    <w:p>
      <w:pPr>
        <w:pStyle w:val="22"/>
        <w:spacing w:line="360" w:lineRule="auto"/>
        <w:rPr>
          <w:rFonts w:hint="eastAsia" w:ascii="宋体" w:hAnsi="宋体" w:eastAsia="宋体" w:cs="宋体"/>
          <w:color w:val="auto"/>
        </w:rPr>
      </w:pPr>
      <w:bookmarkStart w:id="38" w:name="_Toc129763151"/>
      <w:r>
        <w:rPr>
          <w:rFonts w:hint="eastAsia" w:ascii="宋体" w:hAnsi="宋体" w:eastAsia="宋体" w:cs="宋体"/>
          <w:color w:val="auto"/>
        </w:rPr>
        <w:t>五、比选</w:t>
      </w:r>
      <w:bookmarkEnd w:id="34"/>
      <w:bookmarkEnd w:id="35"/>
      <w:bookmarkEnd w:id="36"/>
      <w:bookmarkEnd w:id="37"/>
      <w:bookmarkEnd w:id="38"/>
    </w:p>
    <w:p>
      <w:pPr>
        <w:spacing w:line="360" w:lineRule="auto"/>
        <w:jc w:val="left"/>
        <w:rPr>
          <w:rFonts w:hint="eastAsia" w:ascii="宋体" w:hAnsi="宋体" w:eastAsia="宋体" w:cs="宋体"/>
          <w:b/>
          <w:color w:val="auto"/>
          <w:sz w:val="24"/>
          <w:szCs w:val="24"/>
        </w:rPr>
      </w:pPr>
      <w:r>
        <w:rPr>
          <w:rFonts w:hint="eastAsia" w:ascii="宋体" w:hAnsi="宋体" w:eastAsia="宋体" w:cs="宋体"/>
          <w:b/>
          <w:color w:val="auto"/>
          <w:sz w:val="24"/>
          <w:szCs w:val="24"/>
        </w:rPr>
        <w:t>15.比选方式</w:t>
      </w:r>
    </w:p>
    <w:p>
      <w:pPr>
        <w:pStyle w:val="34"/>
        <w:widowControl/>
        <w:tabs>
          <w:tab w:val="left" w:pos="851"/>
        </w:tabs>
        <w:snapToGrid w:val="0"/>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15.1 比选人在《参选人须知》规定的时间、地点组织召开比选会。</w:t>
      </w:r>
    </w:p>
    <w:p>
      <w:pPr>
        <w:widowControl/>
        <w:tabs>
          <w:tab w:val="left" w:pos="851"/>
        </w:tabs>
        <w:snapToGrid w:val="0"/>
        <w:spacing w:line="360" w:lineRule="auto"/>
        <w:ind w:left="525" w:hanging="600" w:hangingChars="250"/>
        <w:rPr>
          <w:rFonts w:hint="eastAsia" w:ascii="宋体" w:hAnsi="宋体" w:eastAsia="宋体" w:cs="宋体"/>
          <w:color w:val="auto"/>
          <w:sz w:val="24"/>
          <w:szCs w:val="24"/>
        </w:rPr>
      </w:pPr>
      <w:r>
        <w:rPr>
          <w:rFonts w:hint="eastAsia" w:ascii="宋体" w:hAnsi="宋体" w:eastAsia="宋体" w:cs="宋体"/>
          <w:color w:val="auto"/>
          <w:sz w:val="24"/>
          <w:szCs w:val="24"/>
        </w:rPr>
        <w:t>15.2比选人在比选小组和监督人员的监督下宣布开封时间为止的有效比选响应文件，检查比选响应文件的密封情况，经确认无误后，由比选人当众拆封，宣读参选人名称。</w:t>
      </w:r>
    </w:p>
    <w:p>
      <w:pPr>
        <w:spacing w:line="360" w:lineRule="auto"/>
        <w:jc w:val="left"/>
        <w:rPr>
          <w:rFonts w:hint="eastAsia" w:ascii="宋体" w:hAnsi="宋体" w:eastAsia="宋体" w:cs="宋体"/>
          <w:b/>
          <w:color w:val="auto"/>
          <w:sz w:val="24"/>
          <w:szCs w:val="24"/>
        </w:rPr>
      </w:pPr>
      <w:r>
        <w:rPr>
          <w:rFonts w:hint="eastAsia" w:ascii="宋体" w:hAnsi="宋体" w:eastAsia="宋体" w:cs="宋体"/>
          <w:b/>
          <w:color w:val="auto"/>
          <w:sz w:val="24"/>
          <w:szCs w:val="24"/>
        </w:rPr>
        <w:t>16.无效比选情况</w:t>
      </w:r>
    </w:p>
    <w:p>
      <w:pPr>
        <w:pStyle w:val="34"/>
        <w:widowControl/>
        <w:tabs>
          <w:tab w:val="left" w:pos="851"/>
        </w:tabs>
        <w:snapToGrid w:val="0"/>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16.1 比选响应文件有下列情形之一的无效：</w:t>
      </w:r>
    </w:p>
    <w:p>
      <w:pPr>
        <w:pStyle w:val="34"/>
        <w:numPr>
          <w:ilvl w:val="0"/>
          <w:numId w:val="14"/>
        </w:numPr>
        <w:spacing w:line="360" w:lineRule="auto"/>
        <w:ind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未按照要求予以密封的；</w:t>
      </w:r>
    </w:p>
    <w:p>
      <w:pPr>
        <w:pStyle w:val="34"/>
        <w:numPr>
          <w:ilvl w:val="0"/>
          <w:numId w:val="14"/>
        </w:numPr>
        <w:spacing w:line="360" w:lineRule="auto"/>
        <w:ind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服务承诺未经参选人的法定代表人或其委托代理人签署，并加盖参选人印章的；</w:t>
      </w:r>
    </w:p>
    <w:p>
      <w:pPr>
        <w:pStyle w:val="34"/>
        <w:numPr>
          <w:ilvl w:val="0"/>
          <w:numId w:val="14"/>
        </w:numPr>
        <w:spacing w:line="360" w:lineRule="auto"/>
        <w:ind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委托代理人没有合法、有效的授权委托书的；</w:t>
      </w:r>
    </w:p>
    <w:p>
      <w:pPr>
        <w:pStyle w:val="34"/>
        <w:numPr>
          <w:ilvl w:val="0"/>
          <w:numId w:val="14"/>
        </w:numPr>
        <w:spacing w:line="360" w:lineRule="auto"/>
        <w:ind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比选文件明确规定无效的其他情形。</w:t>
      </w:r>
    </w:p>
    <w:p>
      <w:pPr>
        <w:pStyle w:val="34"/>
        <w:widowControl/>
        <w:tabs>
          <w:tab w:val="left" w:pos="851"/>
        </w:tabs>
        <w:snapToGrid w:val="0"/>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16.2 出现以下情形之一时，该参选人的比选响应文件按作废处理：</w:t>
      </w:r>
    </w:p>
    <w:p>
      <w:pPr>
        <w:pStyle w:val="34"/>
        <w:numPr>
          <w:ilvl w:val="0"/>
          <w:numId w:val="15"/>
        </w:numPr>
        <w:spacing w:line="360" w:lineRule="auto"/>
        <w:ind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参选人不具备资格的；</w:t>
      </w:r>
    </w:p>
    <w:p>
      <w:pPr>
        <w:pStyle w:val="34"/>
        <w:numPr>
          <w:ilvl w:val="0"/>
          <w:numId w:val="15"/>
        </w:numPr>
        <w:spacing w:line="360" w:lineRule="auto"/>
        <w:ind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参选人以他人的名义比选、串通报价、以行贿手段或者以其他弄虚作假方式比选</w:t>
      </w:r>
    </w:p>
    <w:p>
      <w:pPr>
        <w:pStyle w:val="34"/>
        <w:spacing w:line="360" w:lineRule="auto"/>
        <w:ind w:left="1260"/>
        <w:jc w:val="left"/>
        <w:rPr>
          <w:rFonts w:hint="eastAsia" w:ascii="宋体" w:hAnsi="宋体" w:eastAsia="宋体" w:cs="宋体"/>
          <w:color w:val="auto"/>
          <w:sz w:val="24"/>
          <w:szCs w:val="24"/>
        </w:rPr>
      </w:pPr>
      <w:r>
        <w:rPr>
          <w:rFonts w:hint="eastAsia" w:ascii="宋体" w:hAnsi="宋体" w:eastAsia="宋体" w:cs="宋体"/>
          <w:color w:val="auto"/>
          <w:sz w:val="24"/>
          <w:szCs w:val="24"/>
        </w:rPr>
        <w:t>的；</w:t>
      </w:r>
    </w:p>
    <w:p>
      <w:pPr>
        <w:pStyle w:val="34"/>
        <w:numPr>
          <w:ilvl w:val="0"/>
          <w:numId w:val="15"/>
        </w:numPr>
        <w:spacing w:line="360" w:lineRule="auto"/>
        <w:ind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参选人的内容未能在实质上响应比选文件提出的所有实质性要求和条件的。</w:t>
      </w:r>
    </w:p>
    <w:p>
      <w:pPr>
        <w:pStyle w:val="34"/>
        <w:numPr>
          <w:ilvl w:val="0"/>
          <w:numId w:val="15"/>
        </w:numPr>
        <w:spacing w:line="360" w:lineRule="auto"/>
        <w:ind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比选响应文件明确规定作废的其他情形。</w:t>
      </w:r>
    </w:p>
    <w:p>
      <w:pPr>
        <w:spacing w:line="360" w:lineRule="auto"/>
        <w:jc w:val="left"/>
        <w:rPr>
          <w:rFonts w:hint="eastAsia" w:ascii="宋体" w:hAnsi="宋体" w:eastAsia="宋体" w:cs="宋体"/>
          <w:b/>
          <w:color w:val="auto"/>
          <w:sz w:val="24"/>
          <w:szCs w:val="24"/>
        </w:rPr>
      </w:pPr>
      <w:r>
        <w:rPr>
          <w:rFonts w:hint="eastAsia" w:ascii="宋体" w:hAnsi="宋体" w:eastAsia="宋体" w:cs="宋体"/>
          <w:b/>
          <w:color w:val="auto"/>
          <w:sz w:val="24"/>
          <w:szCs w:val="24"/>
        </w:rPr>
        <w:t>17.比选结果</w:t>
      </w:r>
    </w:p>
    <w:p>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按照比选小组的评审结果，综合总得分由高至低的顺序进行排序，综合评分最高的参选人为本次的中选人。</w:t>
      </w:r>
    </w:p>
    <w:p>
      <w:pPr>
        <w:rPr>
          <w:rFonts w:hint="eastAsia" w:ascii="宋体" w:hAnsi="宋体" w:eastAsia="宋体" w:cs="宋体"/>
          <w:color w:val="auto"/>
          <w:szCs w:val="21"/>
        </w:rPr>
      </w:pPr>
    </w:p>
    <w:p>
      <w:pPr>
        <w:rPr>
          <w:rFonts w:hint="eastAsia" w:ascii="宋体" w:hAnsi="宋体" w:eastAsia="宋体" w:cs="宋体"/>
          <w:color w:val="auto"/>
          <w:szCs w:val="21"/>
        </w:rPr>
      </w:pPr>
    </w:p>
    <w:p>
      <w:pPr>
        <w:rPr>
          <w:rFonts w:hint="eastAsia" w:ascii="宋体" w:hAnsi="宋体" w:eastAsia="宋体" w:cs="宋体"/>
          <w:color w:val="auto"/>
          <w:szCs w:val="21"/>
        </w:rPr>
      </w:pPr>
    </w:p>
    <w:p>
      <w:pPr>
        <w:rPr>
          <w:rFonts w:hint="eastAsia" w:ascii="宋体" w:hAnsi="宋体" w:eastAsia="宋体" w:cs="宋体"/>
          <w:color w:val="auto"/>
          <w:szCs w:val="21"/>
        </w:rPr>
      </w:pPr>
    </w:p>
    <w:p>
      <w:pPr>
        <w:rPr>
          <w:rFonts w:hint="eastAsia" w:ascii="宋体" w:hAnsi="宋体" w:eastAsia="宋体" w:cs="宋体"/>
          <w:color w:val="auto"/>
          <w:szCs w:val="21"/>
        </w:rPr>
      </w:pPr>
    </w:p>
    <w:p>
      <w:pPr>
        <w:rPr>
          <w:rFonts w:hint="eastAsia" w:ascii="宋体" w:hAnsi="宋体" w:eastAsia="宋体" w:cs="宋体"/>
          <w:color w:val="auto"/>
          <w:szCs w:val="21"/>
        </w:rPr>
      </w:pPr>
    </w:p>
    <w:p>
      <w:pPr>
        <w:rPr>
          <w:rFonts w:hint="eastAsia" w:ascii="宋体" w:hAnsi="宋体" w:eastAsia="宋体" w:cs="宋体"/>
          <w:color w:val="auto"/>
          <w:szCs w:val="21"/>
        </w:rPr>
      </w:pPr>
    </w:p>
    <w:p>
      <w:pPr>
        <w:rPr>
          <w:rFonts w:hint="eastAsia" w:ascii="宋体" w:hAnsi="宋体" w:eastAsia="宋体" w:cs="宋体"/>
          <w:color w:val="auto"/>
          <w:kern w:val="0"/>
          <w:szCs w:val="44"/>
        </w:rPr>
      </w:pPr>
    </w:p>
    <w:p>
      <w:pPr>
        <w:pStyle w:val="25"/>
        <w:rPr>
          <w:rFonts w:hint="eastAsia" w:ascii="宋体" w:hAnsi="宋体" w:eastAsia="宋体" w:cs="宋体"/>
          <w:bCs w:val="0"/>
          <w:color w:val="auto"/>
          <w:kern w:val="0"/>
          <w:szCs w:val="44"/>
        </w:rPr>
      </w:pPr>
      <w:bookmarkStart w:id="39" w:name="_Toc129763152"/>
      <w:r>
        <w:rPr>
          <w:rFonts w:hint="eastAsia" w:ascii="宋体" w:hAnsi="宋体" w:eastAsia="宋体" w:cs="宋体"/>
          <w:bCs w:val="0"/>
          <w:color w:val="auto"/>
          <w:kern w:val="0"/>
          <w:szCs w:val="44"/>
        </w:rPr>
        <w:t>第三章比选响应文件格式</w:t>
      </w:r>
      <w:bookmarkEnd w:id="39"/>
    </w:p>
    <w:p>
      <w:pPr>
        <w:rPr>
          <w:rFonts w:hint="eastAsia" w:ascii="宋体" w:hAnsi="宋体" w:eastAsia="宋体" w:cs="宋体"/>
          <w:color w:val="auto"/>
        </w:rPr>
      </w:pPr>
    </w:p>
    <w:p>
      <w:pPr>
        <w:rPr>
          <w:rFonts w:hint="eastAsia" w:ascii="宋体" w:hAnsi="宋体" w:eastAsia="宋体" w:cs="宋体"/>
          <w:b/>
          <w:bCs/>
          <w:color w:val="auto"/>
          <w:sz w:val="22"/>
        </w:rPr>
      </w:pPr>
    </w:p>
    <w:p>
      <w:pPr>
        <w:rPr>
          <w:rFonts w:hint="eastAsia" w:ascii="宋体" w:hAnsi="宋体" w:eastAsia="宋体" w:cs="宋体"/>
          <w:b/>
          <w:bCs/>
          <w:color w:val="auto"/>
          <w:sz w:val="22"/>
        </w:rPr>
      </w:pPr>
    </w:p>
    <w:p>
      <w:pPr>
        <w:rPr>
          <w:rFonts w:hint="eastAsia" w:ascii="宋体" w:hAnsi="宋体" w:eastAsia="宋体" w:cs="宋体"/>
          <w:b/>
          <w:bCs/>
          <w:color w:val="auto"/>
          <w:sz w:val="22"/>
        </w:rPr>
      </w:pPr>
    </w:p>
    <w:p>
      <w:pPr>
        <w:rPr>
          <w:rFonts w:hint="eastAsia" w:ascii="宋体" w:hAnsi="宋体" w:eastAsia="宋体" w:cs="宋体"/>
          <w:b/>
          <w:bCs/>
          <w:color w:val="auto"/>
          <w:sz w:val="22"/>
        </w:rPr>
      </w:pPr>
    </w:p>
    <w:p>
      <w:pPr>
        <w:widowControl/>
        <w:spacing w:before="156" w:line="360" w:lineRule="auto"/>
        <w:jc w:val="center"/>
        <w:rPr>
          <w:rFonts w:hint="eastAsia" w:ascii="宋体" w:hAnsi="宋体" w:eastAsia="宋体" w:cs="宋体"/>
          <w:b/>
          <w:color w:val="auto"/>
          <w:kern w:val="1"/>
          <w:sz w:val="44"/>
          <w:szCs w:val="44"/>
          <w:lang w:eastAsia="zh-CN"/>
        </w:rPr>
      </w:pPr>
      <w:r>
        <w:rPr>
          <w:rFonts w:hint="eastAsia" w:ascii="宋体" w:hAnsi="宋体" w:eastAsia="宋体" w:cs="宋体"/>
          <w:b/>
          <w:color w:val="auto"/>
          <w:kern w:val="1"/>
          <w:sz w:val="36"/>
          <w:szCs w:val="36"/>
          <w:lang w:eastAsia="zh-CN"/>
        </w:rPr>
        <w:t>驻马店市发展投资集团有限公司选聘2023年公开发行短期融资券或超短期融资券主承销商项目</w:t>
      </w:r>
    </w:p>
    <w:p>
      <w:pPr>
        <w:widowControl/>
        <w:spacing w:before="156" w:line="360" w:lineRule="auto"/>
        <w:jc w:val="center"/>
        <w:rPr>
          <w:rFonts w:hint="eastAsia" w:ascii="宋体" w:hAnsi="宋体" w:eastAsia="宋体" w:cs="宋体"/>
          <w:b/>
          <w:color w:val="auto"/>
          <w:kern w:val="1"/>
          <w:sz w:val="36"/>
          <w:szCs w:val="36"/>
        </w:rPr>
      </w:pPr>
    </w:p>
    <w:p>
      <w:pPr>
        <w:widowControl/>
        <w:spacing w:before="156" w:line="360" w:lineRule="auto"/>
        <w:jc w:val="center"/>
        <w:rPr>
          <w:rFonts w:hint="eastAsia" w:ascii="宋体" w:hAnsi="宋体" w:eastAsia="宋体" w:cs="宋体"/>
          <w:color w:val="auto"/>
          <w:kern w:val="1"/>
          <w:sz w:val="72"/>
          <w:szCs w:val="72"/>
        </w:rPr>
      </w:pPr>
      <w:r>
        <w:rPr>
          <w:rFonts w:hint="eastAsia" w:ascii="宋体" w:hAnsi="宋体" w:eastAsia="宋体" w:cs="宋体"/>
          <w:color w:val="auto"/>
          <w:kern w:val="1"/>
          <w:sz w:val="72"/>
          <w:szCs w:val="72"/>
        </w:rPr>
        <w:t>比选响应文件</w:t>
      </w:r>
    </w:p>
    <w:p>
      <w:pPr>
        <w:widowControl/>
        <w:spacing w:before="156" w:line="360" w:lineRule="auto"/>
        <w:jc w:val="center"/>
        <w:rPr>
          <w:rFonts w:hint="eastAsia" w:ascii="宋体" w:hAnsi="宋体" w:eastAsia="宋体" w:cs="宋体"/>
          <w:color w:val="auto"/>
          <w:kern w:val="1"/>
          <w:sz w:val="28"/>
          <w:szCs w:val="28"/>
        </w:rPr>
      </w:pPr>
    </w:p>
    <w:p>
      <w:pPr>
        <w:widowControl/>
        <w:spacing w:before="156" w:line="360" w:lineRule="auto"/>
        <w:jc w:val="center"/>
        <w:rPr>
          <w:rFonts w:hint="eastAsia" w:ascii="宋体" w:hAnsi="宋体" w:eastAsia="宋体" w:cs="宋体"/>
          <w:color w:val="auto"/>
          <w:kern w:val="1"/>
          <w:sz w:val="28"/>
          <w:szCs w:val="28"/>
        </w:rPr>
      </w:pPr>
      <w:r>
        <w:rPr>
          <w:rFonts w:hint="eastAsia" w:ascii="宋体" w:hAnsi="宋体" w:eastAsia="宋体" w:cs="宋体"/>
          <w:color w:val="auto"/>
          <w:kern w:val="1"/>
          <w:sz w:val="28"/>
          <w:szCs w:val="28"/>
        </w:rPr>
        <w:t>正本/副本</w:t>
      </w:r>
    </w:p>
    <w:p>
      <w:pPr>
        <w:widowControl/>
        <w:tabs>
          <w:tab w:val="left" w:pos="3030"/>
          <w:tab w:val="center" w:pos="4819"/>
        </w:tabs>
        <w:spacing w:line="360" w:lineRule="auto"/>
        <w:jc w:val="center"/>
        <w:rPr>
          <w:rFonts w:hint="eastAsia" w:ascii="宋体" w:hAnsi="宋体" w:eastAsia="宋体" w:cs="宋体"/>
          <w:b/>
          <w:color w:val="auto"/>
          <w:kern w:val="1"/>
          <w:sz w:val="32"/>
        </w:rPr>
      </w:pPr>
    </w:p>
    <w:p>
      <w:pPr>
        <w:widowControl/>
        <w:tabs>
          <w:tab w:val="left" w:pos="3030"/>
          <w:tab w:val="center" w:pos="4819"/>
        </w:tabs>
        <w:spacing w:line="360" w:lineRule="auto"/>
        <w:jc w:val="center"/>
        <w:rPr>
          <w:rFonts w:hint="eastAsia" w:ascii="宋体" w:hAnsi="宋体" w:eastAsia="宋体" w:cs="宋体"/>
          <w:b/>
          <w:color w:val="auto"/>
          <w:kern w:val="1"/>
          <w:sz w:val="32"/>
        </w:rPr>
      </w:pPr>
    </w:p>
    <w:p>
      <w:pPr>
        <w:spacing w:line="360" w:lineRule="auto"/>
        <w:rPr>
          <w:rFonts w:hint="eastAsia" w:ascii="宋体" w:hAnsi="宋体" w:eastAsia="宋体" w:cs="宋体"/>
          <w:color w:val="auto"/>
          <w:kern w:val="1"/>
          <w:szCs w:val="21"/>
        </w:rPr>
      </w:pPr>
    </w:p>
    <w:p>
      <w:pPr>
        <w:spacing w:line="360" w:lineRule="auto"/>
        <w:ind w:firstLine="840" w:firstLineChars="300"/>
        <w:rPr>
          <w:rFonts w:hint="eastAsia" w:ascii="宋体" w:hAnsi="宋体" w:eastAsia="宋体" w:cs="宋体"/>
          <w:color w:val="auto"/>
          <w:kern w:val="1"/>
          <w:sz w:val="28"/>
          <w:szCs w:val="28"/>
        </w:rPr>
      </w:pPr>
      <w:r>
        <w:rPr>
          <w:rFonts w:hint="eastAsia" w:ascii="宋体" w:hAnsi="宋体" w:eastAsia="宋体" w:cs="宋体"/>
          <w:color w:val="auto"/>
          <w:kern w:val="1"/>
          <w:sz w:val="28"/>
          <w:szCs w:val="28"/>
        </w:rPr>
        <w:t>参选人：（盖单位章）</w:t>
      </w:r>
    </w:p>
    <w:p>
      <w:pPr>
        <w:spacing w:line="360" w:lineRule="auto"/>
        <w:ind w:firstLine="840" w:firstLineChars="300"/>
        <w:rPr>
          <w:rFonts w:hint="eastAsia" w:ascii="宋体" w:hAnsi="宋体" w:eastAsia="宋体" w:cs="宋体"/>
          <w:color w:val="auto"/>
          <w:kern w:val="1"/>
          <w:sz w:val="28"/>
          <w:szCs w:val="28"/>
        </w:rPr>
      </w:pPr>
    </w:p>
    <w:p>
      <w:pPr>
        <w:spacing w:line="360" w:lineRule="auto"/>
        <w:ind w:firstLine="840" w:firstLineChars="300"/>
        <w:rPr>
          <w:rFonts w:hint="eastAsia" w:ascii="宋体" w:hAnsi="宋体" w:eastAsia="宋体" w:cs="宋体"/>
          <w:color w:val="auto"/>
          <w:kern w:val="1"/>
          <w:sz w:val="28"/>
          <w:szCs w:val="28"/>
        </w:rPr>
      </w:pPr>
    </w:p>
    <w:p>
      <w:pPr>
        <w:spacing w:line="360" w:lineRule="auto"/>
        <w:ind w:firstLine="840" w:firstLineChars="300"/>
        <w:rPr>
          <w:rFonts w:hint="eastAsia" w:ascii="宋体" w:hAnsi="宋体" w:eastAsia="宋体" w:cs="宋体"/>
          <w:color w:val="auto"/>
          <w:kern w:val="1"/>
          <w:sz w:val="28"/>
          <w:szCs w:val="28"/>
        </w:rPr>
      </w:pPr>
      <w:r>
        <w:rPr>
          <w:rFonts w:hint="eastAsia" w:ascii="宋体" w:hAnsi="宋体" w:eastAsia="宋体" w:cs="宋体"/>
          <w:color w:val="auto"/>
          <w:kern w:val="1"/>
          <w:sz w:val="28"/>
          <w:szCs w:val="28"/>
        </w:rPr>
        <w:t>法定代表人或其委托代理人：（签字或印鉴）</w:t>
      </w:r>
    </w:p>
    <w:p>
      <w:pPr>
        <w:spacing w:line="360" w:lineRule="auto"/>
        <w:jc w:val="center"/>
        <w:rPr>
          <w:rFonts w:hint="eastAsia" w:ascii="宋体" w:hAnsi="宋体" w:eastAsia="宋体" w:cs="宋体"/>
          <w:color w:val="auto"/>
          <w:kern w:val="1"/>
          <w:szCs w:val="21"/>
          <w:u w:val="single"/>
        </w:rPr>
      </w:pPr>
    </w:p>
    <w:p>
      <w:pPr>
        <w:spacing w:line="360" w:lineRule="auto"/>
        <w:ind w:firstLine="3780"/>
        <w:rPr>
          <w:rFonts w:hint="eastAsia" w:ascii="宋体" w:hAnsi="宋体" w:eastAsia="宋体" w:cs="宋体"/>
          <w:color w:val="auto"/>
          <w:kern w:val="1"/>
          <w:szCs w:val="21"/>
          <w:u w:val="single"/>
        </w:rPr>
      </w:pPr>
    </w:p>
    <w:p>
      <w:pPr>
        <w:spacing w:line="360" w:lineRule="auto"/>
        <w:jc w:val="center"/>
        <w:rPr>
          <w:rFonts w:hint="eastAsia" w:ascii="宋体" w:hAnsi="宋体" w:eastAsia="宋体" w:cs="宋体"/>
          <w:color w:val="auto"/>
          <w:kern w:val="1"/>
          <w:szCs w:val="21"/>
        </w:rPr>
        <w:sectPr>
          <w:pgSz w:w="11906" w:h="16838"/>
          <w:pgMar w:top="1418" w:right="1286" w:bottom="1418" w:left="1440" w:header="851" w:footer="992" w:gutter="0"/>
          <w:cols w:space="720" w:num="1"/>
        </w:sectPr>
      </w:pPr>
      <w:r>
        <w:rPr>
          <w:rFonts w:hint="eastAsia" w:ascii="宋体" w:hAnsi="宋体" w:eastAsia="宋体" w:cs="宋体"/>
          <w:color w:val="auto"/>
          <w:kern w:val="1"/>
          <w:sz w:val="28"/>
          <w:szCs w:val="28"/>
        </w:rPr>
        <w:t>年   月   日</w:t>
      </w:r>
    </w:p>
    <w:p>
      <w:pPr>
        <w:pStyle w:val="22"/>
        <w:spacing w:line="360" w:lineRule="auto"/>
        <w:rPr>
          <w:rFonts w:hint="eastAsia" w:ascii="宋体" w:hAnsi="宋体" w:eastAsia="宋体" w:cs="宋体"/>
          <w:color w:val="auto"/>
        </w:rPr>
      </w:pPr>
      <w:bookmarkStart w:id="40" w:name="_Toc325982570"/>
      <w:bookmarkEnd w:id="40"/>
      <w:bookmarkStart w:id="41" w:name="_Toc129763153"/>
      <w:r>
        <w:rPr>
          <w:rFonts w:hint="eastAsia" w:ascii="宋体" w:hAnsi="宋体" w:eastAsia="宋体" w:cs="宋体"/>
          <w:color w:val="auto"/>
        </w:rPr>
        <w:t>一、参选函</w:t>
      </w:r>
      <w:bookmarkEnd w:id="41"/>
    </w:p>
    <w:p>
      <w:pPr>
        <w:spacing w:line="560" w:lineRule="exact"/>
        <w:jc w:val="center"/>
        <w:rPr>
          <w:rFonts w:hint="eastAsia" w:ascii="宋体" w:hAnsi="宋体" w:eastAsia="宋体" w:cs="宋体"/>
          <w:bCs/>
          <w:color w:val="auto"/>
          <w:sz w:val="28"/>
          <w:szCs w:val="28"/>
        </w:rPr>
      </w:pPr>
    </w:p>
    <w:p>
      <w:pPr>
        <w:spacing w:line="560" w:lineRule="exact"/>
        <w:jc w:val="center"/>
        <w:rPr>
          <w:rFonts w:hint="eastAsia" w:ascii="宋体" w:hAnsi="宋体" w:eastAsia="宋体" w:cs="宋体"/>
          <w:bCs/>
          <w:color w:val="auto"/>
          <w:sz w:val="24"/>
          <w:szCs w:val="24"/>
        </w:rPr>
      </w:pPr>
    </w:p>
    <w:p>
      <w:pPr>
        <w:spacing w:line="560" w:lineRule="exact"/>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驻马店市发展投资集团有限公司</w:t>
      </w:r>
      <w:r>
        <w:rPr>
          <w:rFonts w:hint="eastAsia" w:ascii="宋体" w:hAnsi="宋体" w:eastAsia="宋体" w:cs="宋体"/>
          <w:bCs/>
          <w:color w:val="auto"/>
          <w:sz w:val="24"/>
          <w:szCs w:val="24"/>
        </w:rPr>
        <w:t>：</w:t>
      </w:r>
    </w:p>
    <w:p>
      <w:pPr>
        <w:spacing w:line="560" w:lineRule="exact"/>
        <w:ind w:firstLine="645"/>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我方已仔细研究了</w:t>
      </w:r>
      <w:r>
        <w:rPr>
          <w:rFonts w:hint="eastAsia" w:ascii="宋体" w:hAnsi="宋体" w:eastAsia="宋体" w:cs="宋体"/>
          <w:bCs/>
          <w:color w:val="auto"/>
          <w:sz w:val="24"/>
          <w:szCs w:val="24"/>
          <w:lang w:eastAsia="zh-CN"/>
        </w:rPr>
        <w:t>驻马店市发展投资集团有限公司选聘2023年公开发行短期融资券或超短期融资券主承销商项目</w:t>
      </w:r>
      <w:r>
        <w:rPr>
          <w:rFonts w:hint="eastAsia" w:ascii="宋体" w:hAnsi="宋体" w:eastAsia="宋体" w:cs="宋体"/>
          <w:bCs/>
          <w:color w:val="auto"/>
          <w:sz w:val="24"/>
          <w:szCs w:val="24"/>
        </w:rPr>
        <w:t>比选文件的全部内容，自愿按照比选文件的要求，参加本项目的比选竞争。签字代表</w:t>
      </w:r>
      <w:r>
        <w:rPr>
          <w:rFonts w:hint="eastAsia" w:ascii="宋体" w:hAnsi="宋体" w:eastAsia="宋体" w:cs="宋体"/>
          <w:bCs/>
          <w:color w:val="auto"/>
          <w:sz w:val="24"/>
          <w:szCs w:val="24"/>
          <w:u w:val="single"/>
        </w:rPr>
        <w:t>（姓名）（职务）</w:t>
      </w:r>
      <w:r>
        <w:rPr>
          <w:rFonts w:hint="eastAsia" w:ascii="宋体" w:hAnsi="宋体" w:eastAsia="宋体" w:cs="宋体"/>
          <w:bCs/>
          <w:color w:val="auto"/>
          <w:sz w:val="24"/>
          <w:szCs w:val="24"/>
        </w:rPr>
        <w:t>经正式授权并代表</w:t>
      </w:r>
      <w:r>
        <w:rPr>
          <w:rFonts w:hint="eastAsia" w:ascii="宋体" w:hAnsi="宋体" w:eastAsia="宋体" w:cs="宋体"/>
          <w:bCs/>
          <w:color w:val="auto"/>
          <w:sz w:val="24"/>
          <w:szCs w:val="24"/>
          <w:u w:val="single"/>
        </w:rPr>
        <w:t>（金融机构名称）</w:t>
      </w:r>
      <w:r>
        <w:rPr>
          <w:rFonts w:hint="eastAsia" w:ascii="宋体" w:hAnsi="宋体" w:eastAsia="宋体" w:cs="宋体"/>
          <w:bCs/>
          <w:color w:val="auto"/>
          <w:sz w:val="24"/>
          <w:szCs w:val="24"/>
        </w:rPr>
        <w:t>提交比选响应文件正本壹份、副本肆份及电子版本壹份。</w:t>
      </w:r>
    </w:p>
    <w:p>
      <w:pPr>
        <w:spacing w:line="560" w:lineRule="exact"/>
        <w:ind w:firstLine="2400" w:firstLineChars="1000"/>
        <w:rPr>
          <w:rFonts w:hint="eastAsia" w:ascii="宋体" w:hAnsi="宋体" w:eastAsia="宋体" w:cs="宋体"/>
          <w:bCs/>
          <w:color w:val="auto"/>
          <w:sz w:val="24"/>
          <w:szCs w:val="24"/>
        </w:rPr>
      </w:pPr>
    </w:p>
    <w:p>
      <w:pPr>
        <w:spacing w:line="560" w:lineRule="exact"/>
        <w:ind w:firstLine="2400" w:firstLineChars="1000"/>
        <w:rPr>
          <w:rFonts w:hint="eastAsia" w:ascii="宋体" w:hAnsi="宋体" w:eastAsia="宋体" w:cs="宋体"/>
          <w:bCs/>
          <w:color w:val="auto"/>
          <w:sz w:val="24"/>
          <w:szCs w:val="24"/>
        </w:rPr>
      </w:pPr>
    </w:p>
    <w:p>
      <w:pPr>
        <w:spacing w:line="560" w:lineRule="exact"/>
        <w:ind w:firstLine="2400" w:firstLineChars="1000"/>
        <w:rPr>
          <w:rFonts w:hint="eastAsia" w:ascii="宋体" w:hAnsi="宋体" w:eastAsia="宋体" w:cs="宋体"/>
          <w:bCs/>
          <w:color w:val="auto"/>
          <w:sz w:val="24"/>
          <w:szCs w:val="24"/>
        </w:rPr>
      </w:pPr>
    </w:p>
    <w:p>
      <w:pPr>
        <w:spacing w:line="560" w:lineRule="exact"/>
        <w:ind w:firstLine="2400" w:firstLineChars="1000"/>
        <w:rPr>
          <w:rFonts w:hint="eastAsia" w:ascii="宋体" w:hAnsi="宋体" w:eastAsia="宋体" w:cs="宋体"/>
          <w:bCs/>
          <w:color w:val="auto"/>
          <w:sz w:val="24"/>
          <w:szCs w:val="24"/>
        </w:rPr>
      </w:pPr>
    </w:p>
    <w:p>
      <w:pPr>
        <w:spacing w:line="560" w:lineRule="exact"/>
        <w:ind w:firstLine="2400" w:firstLineChars="1000"/>
        <w:rPr>
          <w:rFonts w:hint="eastAsia" w:ascii="宋体" w:hAnsi="宋体" w:eastAsia="宋体" w:cs="宋体"/>
          <w:bCs/>
          <w:color w:val="auto"/>
          <w:sz w:val="24"/>
          <w:szCs w:val="24"/>
        </w:rPr>
      </w:pPr>
    </w:p>
    <w:p>
      <w:pPr>
        <w:spacing w:line="560" w:lineRule="exact"/>
        <w:ind w:firstLine="2400" w:firstLineChars="1000"/>
        <w:rPr>
          <w:rFonts w:hint="eastAsia" w:ascii="宋体" w:hAnsi="宋体" w:eastAsia="宋体" w:cs="宋体"/>
          <w:bCs/>
          <w:color w:val="auto"/>
          <w:sz w:val="24"/>
          <w:szCs w:val="24"/>
        </w:rPr>
      </w:pPr>
    </w:p>
    <w:p>
      <w:pPr>
        <w:spacing w:line="560" w:lineRule="exact"/>
        <w:ind w:firstLine="720" w:firstLineChars="300"/>
        <w:rPr>
          <w:rFonts w:hint="eastAsia" w:ascii="宋体" w:hAnsi="宋体" w:eastAsia="宋体" w:cs="宋体"/>
          <w:bCs/>
          <w:color w:val="auto"/>
          <w:sz w:val="24"/>
          <w:szCs w:val="24"/>
        </w:rPr>
      </w:pPr>
      <w:r>
        <w:rPr>
          <w:rFonts w:hint="eastAsia" w:ascii="宋体" w:hAnsi="宋体" w:eastAsia="宋体" w:cs="宋体"/>
          <w:bCs/>
          <w:color w:val="auto"/>
          <w:sz w:val="24"/>
          <w:szCs w:val="24"/>
        </w:rPr>
        <w:t>参选人：（单位盖章）</w:t>
      </w:r>
    </w:p>
    <w:p>
      <w:pPr>
        <w:spacing w:line="560" w:lineRule="exact"/>
        <w:ind w:firstLine="645"/>
        <w:rPr>
          <w:rFonts w:hint="eastAsia" w:ascii="宋体" w:hAnsi="宋体" w:eastAsia="宋体" w:cs="宋体"/>
          <w:bCs/>
          <w:color w:val="auto"/>
          <w:sz w:val="24"/>
          <w:szCs w:val="24"/>
        </w:rPr>
      </w:pPr>
    </w:p>
    <w:p>
      <w:pPr>
        <w:spacing w:line="560" w:lineRule="exact"/>
        <w:ind w:firstLine="645"/>
        <w:rPr>
          <w:rFonts w:hint="eastAsia" w:ascii="宋体" w:hAnsi="宋体" w:eastAsia="宋体" w:cs="宋体"/>
          <w:bCs/>
          <w:color w:val="auto"/>
          <w:sz w:val="24"/>
          <w:szCs w:val="24"/>
        </w:rPr>
      </w:pPr>
      <w:r>
        <w:rPr>
          <w:rFonts w:hint="eastAsia" w:ascii="宋体" w:hAnsi="宋体" w:eastAsia="宋体" w:cs="宋体"/>
          <w:bCs/>
          <w:color w:val="auto"/>
          <w:sz w:val="24"/>
          <w:szCs w:val="24"/>
        </w:rPr>
        <w:t>法定代表人或其委托代理人：（签字或盖章）</w:t>
      </w:r>
    </w:p>
    <w:p>
      <w:pPr>
        <w:rPr>
          <w:rFonts w:hint="eastAsia" w:ascii="宋体" w:hAnsi="宋体" w:eastAsia="宋体" w:cs="宋体"/>
          <w:bCs/>
          <w:color w:val="auto"/>
          <w:sz w:val="24"/>
          <w:szCs w:val="24"/>
        </w:rPr>
      </w:pPr>
    </w:p>
    <w:p>
      <w:pPr>
        <w:ind w:firstLine="1920" w:firstLineChars="800"/>
        <w:rPr>
          <w:rFonts w:hint="eastAsia" w:ascii="宋体" w:hAnsi="宋体" w:eastAsia="宋体" w:cs="宋体"/>
          <w:bCs/>
          <w:color w:val="auto"/>
          <w:sz w:val="24"/>
          <w:szCs w:val="24"/>
        </w:rPr>
      </w:pPr>
    </w:p>
    <w:p>
      <w:pPr>
        <w:ind w:firstLine="2400" w:firstLineChars="1000"/>
        <w:rPr>
          <w:rFonts w:hint="eastAsia" w:ascii="宋体" w:hAnsi="宋体" w:eastAsia="宋体" w:cs="宋体"/>
          <w:color w:val="auto"/>
          <w:kern w:val="1"/>
          <w:sz w:val="24"/>
          <w:szCs w:val="24"/>
        </w:rPr>
      </w:pPr>
      <w:r>
        <w:rPr>
          <w:rFonts w:hint="eastAsia" w:ascii="宋体" w:hAnsi="宋体" w:eastAsia="宋体" w:cs="宋体"/>
          <w:bCs/>
          <w:color w:val="auto"/>
          <w:sz w:val="24"/>
          <w:szCs w:val="24"/>
        </w:rPr>
        <w:t>年     月   日</w:t>
      </w:r>
    </w:p>
    <w:p>
      <w:pPr>
        <w:spacing w:line="360" w:lineRule="auto"/>
        <w:rPr>
          <w:rFonts w:hint="eastAsia" w:ascii="宋体" w:hAnsi="宋体" w:eastAsia="宋体" w:cs="宋体"/>
          <w:color w:val="auto"/>
          <w:kern w:val="1"/>
          <w:szCs w:val="21"/>
        </w:rPr>
        <w:sectPr>
          <w:headerReference r:id="rId6" w:type="default"/>
          <w:pgSz w:w="11906" w:h="16838"/>
          <w:pgMar w:top="1418" w:right="1134" w:bottom="1418" w:left="1134" w:header="851" w:footer="992" w:gutter="0"/>
          <w:cols w:space="720" w:num="1"/>
        </w:sectPr>
      </w:pPr>
    </w:p>
    <w:p>
      <w:pPr>
        <w:pStyle w:val="22"/>
        <w:spacing w:line="360" w:lineRule="auto"/>
        <w:rPr>
          <w:rFonts w:hint="eastAsia" w:ascii="宋体" w:hAnsi="宋体" w:eastAsia="宋体" w:cs="宋体"/>
          <w:color w:val="auto"/>
        </w:rPr>
      </w:pPr>
      <w:bookmarkStart w:id="42" w:name="_Toc325982572"/>
      <w:bookmarkEnd w:id="42"/>
      <w:bookmarkStart w:id="43" w:name="_Toc129763154"/>
      <w:bookmarkStart w:id="44" w:name="_Toc482004242"/>
      <w:bookmarkStart w:id="45" w:name="_Toc3379"/>
      <w:r>
        <w:rPr>
          <w:rFonts w:hint="eastAsia" w:ascii="宋体" w:hAnsi="宋体" w:eastAsia="宋体" w:cs="宋体"/>
          <w:color w:val="auto"/>
        </w:rPr>
        <w:t>二、法定代表人或负责人身份证明</w:t>
      </w:r>
      <w:bookmarkEnd w:id="43"/>
    </w:p>
    <w:p>
      <w:pPr>
        <w:spacing w:line="560" w:lineRule="exact"/>
        <w:ind w:firstLine="645"/>
        <w:rPr>
          <w:rFonts w:hint="eastAsia" w:ascii="宋体" w:hAnsi="宋体" w:eastAsia="宋体" w:cs="宋体"/>
          <w:bCs/>
          <w:color w:val="auto"/>
          <w:sz w:val="32"/>
          <w:szCs w:val="30"/>
        </w:rPr>
      </w:pPr>
    </w:p>
    <w:p>
      <w:pPr>
        <w:spacing w:line="560" w:lineRule="exact"/>
        <w:ind w:firstLine="645"/>
        <w:rPr>
          <w:rFonts w:hint="eastAsia" w:ascii="宋体" w:hAnsi="宋体" w:eastAsia="宋体" w:cs="宋体"/>
          <w:bCs/>
          <w:color w:val="auto"/>
          <w:sz w:val="24"/>
          <w:szCs w:val="24"/>
        </w:rPr>
      </w:pPr>
      <w:r>
        <w:rPr>
          <w:rFonts w:hint="eastAsia" w:ascii="宋体" w:hAnsi="宋体" w:eastAsia="宋体" w:cs="宋体"/>
          <w:bCs/>
          <w:color w:val="auto"/>
          <w:sz w:val="24"/>
          <w:szCs w:val="24"/>
        </w:rPr>
        <w:t>参选人名称：</w:t>
      </w:r>
    </w:p>
    <w:p>
      <w:pPr>
        <w:spacing w:line="560" w:lineRule="exact"/>
        <w:ind w:firstLine="645"/>
        <w:rPr>
          <w:rFonts w:hint="eastAsia" w:ascii="宋体" w:hAnsi="宋体" w:eastAsia="宋体" w:cs="宋体"/>
          <w:bCs/>
          <w:color w:val="auto"/>
          <w:sz w:val="24"/>
          <w:szCs w:val="24"/>
        </w:rPr>
      </w:pPr>
      <w:r>
        <w:rPr>
          <w:rFonts w:hint="eastAsia" w:ascii="宋体" w:hAnsi="宋体" w:eastAsia="宋体" w:cs="宋体"/>
          <w:bCs/>
          <w:color w:val="auto"/>
          <w:sz w:val="24"/>
          <w:szCs w:val="24"/>
        </w:rPr>
        <w:t>单位性质：</w:t>
      </w:r>
    </w:p>
    <w:p>
      <w:pPr>
        <w:spacing w:line="560" w:lineRule="exact"/>
        <w:ind w:firstLine="645"/>
        <w:rPr>
          <w:rFonts w:hint="eastAsia" w:ascii="宋体" w:hAnsi="宋体" w:eastAsia="宋体" w:cs="宋体"/>
          <w:bCs/>
          <w:color w:val="auto"/>
          <w:sz w:val="24"/>
          <w:szCs w:val="24"/>
        </w:rPr>
      </w:pPr>
      <w:r>
        <w:rPr>
          <w:rFonts w:hint="eastAsia" w:ascii="宋体" w:hAnsi="宋体" w:eastAsia="宋体" w:cs="宋体"/>
          <w:bCs/>
          <w:color w:val="auto"/>
          <w:sz w:val="24"/>
          <w:szCs w:val="24"/>
        </w:rPr>
        <w:t>地址：</w:t>
      </w:r>
    </w:p>
    <w:p>
      <w:pPr>
        <w:spacing w:line="560" w:lineRule="exact"/>
        <w:ind w:firstLine="645"/>
        <w:rPr>
          <w:rFonts w:hint="eastAsia" w:ascii="宋体" w:hAnsi="宋体" w:eastAsia="宋体" w:cs="宋体"/>
          <w:bCs/>
          <w:color w:val="auto"/>
          <w:sz w:val="24"/>
          <w:szCs w:val="24"/>
        </w:rPr>
      </w:pPr>
      <w:r>
        <w:rPr>
          <w:rFonts w:hint="eastAsia" w:ascii="宋体" w:hAnsi="宋体" w:eastAsia="宋体" w:cs="宋体"/>
          <w:bCs/>
          <w:color w:val="auto"/>
          <w:sz w:val="24"/>
          <w:szCs w:val="24"/>
        </w:rPr>
        <w:t>成立时间：</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年</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月</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日</w:t>
      </w:r>
    </w:p>
    <w:p>
      <w:pPr>
        <w:spacing w:line="560" w:lineRule="exact"/>
        <w:ind w:firstLine="645"/>
        <w:rPr>
          <w:rFonts w:hint="eastAsia" w:ascii="宋体" w:hAnsi="宋体" w:eastAsia="宋体" w:cs="宋体"/>
          <w:bCs/>
          <w:color w:val="auto"/>
          <w:sz w:val="24"/>
          <w:szCs w:val="24"/>
        </w:rPr>
      </w:pPr>
      <w:r>
        <w:rPr>
          <w:rFonts w:hint="eastAsia" w:ascii="宋体" w:hAnsi="宋体" w:eastAsia="宋体" w:cs="宋体"/>
          <w:bCs/>
          <w:color w:val="auto"/>
          <w:sz w:val="24"/>
          <w:szCs w:val="24"/>
        </w:rPr>
        <w:t>经营期限：</w:t>
      </w:r>
    </w:p>
    <w:p>
      <w:pPr>
        <w:spacing w:line="560" w:lineRule="exact"/>
        <w:ind w:firstLine="645"/>
        <w:rPr>
          <w:rFonts w:hint="eastAsia" w:ascii="宋体" w:hAnsi="宋体" w:eastAsia="宋体" w:cs="宋体"/>
          <w:bCs/>
          <w:color w:val="auto"/>
          <w:sz w:val="24"/>
          <w:szCs w:val="24"/>
        </w:rPr>
      </w:pPr>
    </w:p>
    <w:p>
      <w:pPr>
        <w:spacing w:line="560" w:lineRule="exact"/>
        <w:ind w:firstLine="645"/>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姓名：性别：年龄：职务：</w:t>
      </w:r>
    </w:p>
    <w:p>
      <w:pPr>
        <w:spacing w:line="560" w:lineRule="exact"/>
        <w:ind w:firstLine="645"/>
        <w:rPr>
          <w:rFonts w:hint="eastAsia" w:ascii="宋体" w:hAnsi="宋体" w:eastAsia="宋体" w:cs="宋体"/>
          <w:bCs/>
          <w:color w:val="auto"/>
          <w:sz w:val="24"/>
          <w:szCs w:val="24"/>
        </w:rPr>
      </w:pPr>
      <w:r>
        <w:rPr>
          <w:rFonts w:hint="eastAsia" w:ascii="宋体" w:hAnsi="宋体" w:eastAsia="宋体" w:cs="宋体"/>
          <w:bCs/>
          <w:color w:val="auto"/>
          <w:sz w:val="24"/>
          <w:szCs w:val="24"/>
        </w:rPr>
        <w:t>系（参选人名称）的法定代表人或负责人。</w:t>
      </w:r>
    </w:p>
    <w:p>
      <w:pPr>
        <w:spacing w:line="560" w:lineRule="exact"/>
        <w:rPr>
          <w:rFonts w:hint="eastAsia" w:ascii="宋体" w:hAnsi="宋体" w:eastAsia="宋体" w:cs="宋体"/>
          <w:bCs/>
          <w:color w:val="auto"/>
          <w:sz w:val="24"/>
          <w:szCs w:val="24"/>
        </w:rPr>
      </w:pPr>
    </w:p>
    <w:p>
      <w:pPr>
        <w:spacing w:line="560" w:lineRule="exact"/>
        <w:ind w:firstLine="645"/>
        <w:rPr>
          <w:rFonts w:hint="eastAsia" w:ascii="宋体" w:hAnsi="宋体" w:eastAsia="宋体" w:cs="宋体"/>
          <w:bCs/>
          <w:color w:val="auto"/>
          <w:sz w:val="24"/>
          <w:szCs w:val="24"/>
        </w:rPr>
      </w:pPr>
      <w:r>
        <w:rPr>
          <w:rFonts w:hint="eastAsia" w:ascii="宋体" w:hAnsi="宋体" w:eastAsia="宋体" w:cs="宋体"/>
          <w:bCs/>
          <w:color w:val="auto"/>
          <w:sz w:val="24"/>
          <w:szCs w:val="24"/>
        </w:rPr>
        <w:t>特此证明。</w:t>
      </w:r>
    </w:p>
    <w:p>
      <w:pPr>
        <w:spacing w:line="560" w:lineRule="exact"/>
        <w:ind w:firstLine="645"/>
        <w:rPr>
          <w:rFonts w:hint="eastAsia" w:ascii="宋体" w:hAnsi="宋体" w:eastAsia="宋体" w:cs="宋体"/>
          <w:bCs/>
          <w:color w:val="auto"/>
          <w:sz w:val="24"/>
          <w:szCs w:val="24"/>
        </w:rPr>
      </w:pPr>
    </w:p>
    <w:p>
      <w:pPr>
        <w:spacing w:line="560" w:lineRule="exact"/>
        <w:ind w:firstLine="720" w:firstLineChars="300"/>
        <w:rPr>
          <w:rFonts w:hint="eastAsia" w:ascii="宋体" w:hAnsi="宋体" w:eastAsia="宋体" w:cs="宋体"/>
          <w:bCs/>
          <w:color w:val="auto"/>
          <w:sz w:val="24"/>
          <w:szCs w:val="24"/>
        </w:rPr>
      </w:pPr>
      <w:r>
        <w:rPr>
          <w:rFonts w:hint="eastAsia" w:ascii="宋体" w:hAnsi="宋体" w:eastAsia="宋体" w:cs="宋体"/>
          <w:bCs/>
          <w:color w:val="auto"/>
          <w:sz w:val="24"/>
          <w:szCs w:val="24"/>
        </w:rPr>
        <w:t>参选人（盖单位章）</w:t>
      </w:r>
    </w:p>
    <w:p>
      <w:pPr>
        <w:spacing w:line="560" w:lineRule="exact"/>
        <w:ind w:firstLine="645"/>
        <w:rPr>
          <w:rFonts w:hint="eastAsia" w:ascii="宋体" w:hAnsi="宋体" w:eastAsia="宋体" w:cs="宋体"/>
          <w:bCs/>
          <w:color w:val="auto"/>
          <w:sz w:val="24"/>
          <w:szCs w:val="24"/>
        </w:rPr>
      </w:pPr>
    </w:p>
    <w:p>
      <w:pPr>
        <w:spacing w:line="560" w:lineRule="exact"/>
        <w:ind w:right="640" w:firstLine="3360" w:firstLineChars="1400"/>
        <w:rPr>
          <w:rFonts w:hint="eastAsia" w:ascii="宋体" w:hAnsi="宋体" w:eastAsia="宋体" w:cs="宋体"/>
          <w:bCs/>
          <w:color w:val="auto"/>
          <w:sz w:val="24"/>
          <w:szCs w:val="24"/>
        </w:rPr>
      </w:pPr>
      <w:r>
        <w:rPr>
          <w:rFonts w:hint="eastAsia" w:ascii="宋体" w:hAnsi="宋体" w:eastAsia="宋体" w:cs="宋体"/>
          <w:bCs/>
          <w:color w:val="auto"/>
          <w:sz w:val="24"/>
          <w:szCs w:val="24"/>
        </w:rPr>
        <w:t>年     月    日</w:t>
      </w:r>
    </w:p>
    <w:p>
      <w:pPr>
        <w:pStyle w:val="22"/>
        <w:spacing w:line="360" w:lineRule="auto"/>
        <w:rPr>
          <w:rFonts w:hint="eastAsia" w:ascii="宋体" w:hAnsi="宋体" w:eastAsia="宋体" w:cs="宋体"/>
          <w:color w:val="auto"/>
        </w:rPr>
        <w:sectPr>
          <w:headerReference r:id="rId7" w:type="default"/>
          <w:pgSz w:w="11906" w:h="16838"/>
          <w:pgMar w:top="1418" w:right="1134" w:bottom="1418" w:left="1134" w:header="851" w:footer="992" w:gutter="0"/>
          <w:cols w:space="720" w:num="1"/>
        </w:sectPr>
      </w:pPr>
    </w:p>
    <w:p>
      <w:pPr>
        <w:pStyle w:val="22"/>
        <w:spacing w:line="360" w:lineRule="auto"/>
        <w:rPr>
          <w:rFonts w:hint="eastAsia" w:ascii="宋体" w:hAnsi="宋体" w:eastAsia="宋体" w:cs="宋体"/>
          <w:color w:val="auto"/>
        </w:rPr>
      </w:pPr>
      <w:bookmarkStart w:id="46" w:name="_Toc129763155"/>
      <w:r>
        <w:rPr>
          <w:rFonts w:hint="eastAsia" w:ascii="宋体" w:hAnsi="宋体" w:eastAsia="宋体" w:cs="宋体"/>
          <w:color w:val="auto"/>
        </w:rPr>
        <w:t>三、授权委托书</w:t>
      </w:r>
      <w:bookmarkEnd w:id="44"/>
      <w:bookmarkEnd w:id="45"/>
      <w:bookmarkEnd w:id="46"/>
    </w:p>
    <w:p>
      <w:pPr>
        <w:spacing w:line="360" w:lineRule="auto"/>
        <w:ind w:firstLine="420"/>
        <w:rPr>
          <w:rFonts w:hint="eastAsia" w:ascii="宋体" w:hAnsi="宋体" w:eastAsia="宋体" w:cs="宋体"/>
          <w:color w:val="auto"/>
          <w:kern w:val="1"/>
          <w:szCs w:val="21"/>
        </w:rPr>
      </w:pPr>
    </w:p>
    <w:p>
      <w:pPr>
        <w:spacing w:line="360" w:lineRule="auto"/>
        <w:ind w:firstLine="420"/>
        <w:rPr>
          <w:rFonts w:hint="eastAsia" w:ascii="宋体" w:hAnsi="宋体" w:eastAsia="宋体" w:cs="宋体"/>
          <w:color w:val="auto"/>
          <w:kern w:val="1"/>
          <w:sz w:val="24"/>
          <w:szCs w:val="24"/>
        </w:rPr>
      </w:pPr>
      <w:r>
        <w:rPr>
          <w:rFonts w:hint="eastAsia" w:ascii="宋体" w:hAnsi="宋体" w:eastAsia="宋体" w:cs="宋体"/>
          <w:color w:val="auto"/>
          <w:kern w:val="1"/>
          <w:sz w:val="24"/>
          <w:szCs w:val="24"/>
          <w:u w:val="single"/>
        </w:rPr>
        <w:t>（姓名，职务）</w:t>
      </w:r>
      <w:r>
        <w:rPr>
          <w:rFonts w:hint="eastAsia" w:ascii="宋体" w:hAnsi="宋体" w:eastAsia="宋体" w:cs="宋体"/>
          <w:color w:val="auto"/>
          <w:kern w:val="1"/>
          <w:sz w:val="24"/>
          <w:szCs w:val="24"/>
        </w:rPr>
        <w:t>系</w:t>
      </w:r>
      <w:r>
        <w:rPr>
          <w:rFonts w:hint="eastAsia" w:ascii="宋体" w:hAnsi="宋体" w:eastAsia="宋体" w:cs="宋体"/>
          <w:color w:val="auto"/>
          <w:kern w:val="1"/>
          <w:sz w:val="24"/>
          <w:szCs w:val="24"/>
          <w:u w:val="single"/>
        </w:rPr>
        <w:t>（参选人名称）</w:t>
      </w:r>
      <w:r>
        <w:rPr>
          <w:rFonts w:hint="eastAsia" w:ascii="宋体" w:hAnsi="宋体" w:eastAsia="宋体" w:cs="宋体"/>
          <w:color w:val="auto"/>
          <w:kern w:val="1"/>
          <w:sz w:val="24"/>
          <w:szCs w:val="24"/>
        </w:rPr>
        <w:t>的法定代表人，现委托</w:t>
      </w:r>
      <w:r>
        <w:rPr>
          <w:rFonts w:hint="eastAsia" w:ascii="宋体" w:hAnsi="宋体" w:eastAsia="宋体" w:cs="宋体"/>
          <w:color w:val="auto"/>
          <w:kern w:val="1"/>
          <w:sz w:val="24"/>
          <w:szCs w:val="24"/>
          <w:u w:val="single"/>
        </w:rPr>
        <w:t>（姓名，职务）</w:t>
      </w:r>
      <w:r>
        <w:rPr>
          <w:rFonts w:hint="eastAsia" w:ascii="宋体" w:hAnsi="宋体" w:eastAsia="宋体" w:cs="宋体"/>
          <w:color w:val="auto"/>
          <w:kern w:val="1"/>
          <w:sz w:val="24"/>
          <w:szCs w:val="24"/>
        </w:rPr>
        <w:t>为我方代理人。代理人根据授权，以我方名义签署、澄清、说明、补正、递交、撤回、修改</w:t>
      </w:r>
      <w:r>
        <w:rPr>
          <w:rFonts w:hint="eastAsia" w:ascii="宋体" w:hAnsi="宋体" w:eastAsia="宋体" w:cs="宋体"/>
          <w:bCs/>
          <w:color w:val="auto"/>
          <w:sz w:val="24"/>
          <w:szCs w:val="24"/>
          <w:u w:val="single"/>
          <w:lang w:eastAsia="zh-CN"/>
        </w:rPr>
        <w:t>驻马店市发展投资集团有限公司选聘2023年公开发行短期融资券或超短期融资券主承销商项目</w:t>
      </w:r>
      <w:r>
        <w:rPr>
          <w:rFonts w:hint="eastAsia" w:ascii="宋体" w:hAnsi="宋体" w:eastAsia="宋体" w:cs="宋体"/>
          <w:color w:val="auto"/>
          <w:kern w:val="1"/>
          <w:sz w:val="24"/>
          <w:szCs w:val="24"/>
        </w:rPr>
        <w:t>比选响应文件和处理有关事宜，其法律后果由我方承担。</w:t>
      </w:r>
    </w:p>
    <w:p>
      <w:pPr>
        <w:spacing w:line="360" w:lineRule="auto"/>
        <w:ind w:firstLine="420"/>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委托期限：</w:t>
      </w:r>
    </w:p>
    <w:p>
      <w:pPr>
        <w:spacing w:line="360" w:lineRule="auto"/>
        <w:ind w:firstLine="420"/>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代理人无转委托权。</w:t>
      </w:r>
    </w:p>
    <w:p>
      <w:pPr>
        <w:spacing w:line="360" w:lineRule="auto"/>
        <w:ind w:firstLine="422"/>
        <w:rPr>
          <w:rFonts w:hint="eastAsia" w:ascii="宋体" w:hAnsi="宋体" w:eastAsia="宋体" w:cs="宋体"/>
          <w:b/>
          <w:color w:val="auto"/>
          <w:kern w:val="1"/>
          <w:sz w:val="24"/>
          <w:szCs w:val="24"/>
        </w:rPr>
      </w:pPr>
      <w:r>
        <w:rPr>
          <w:rFonts w:hint="eastAsia" w:ascii="宋体" w:hAnsi="宋体" w:eastAsia="宋体" w:cs="宋体"/>
          <w:b/>
          <w:color w:val="auto"/>
          <w:kern w:val="1"/>
          <w:sz w:val="24"/>
          <w:szCs w:val="24"/>
        </w:rPr>
        <w:t>附：法定代表人及委托代理人的身份证明</w:t>
      </w:r>
    </w:p>
    <w:p>
      <w:pPr>
        <w:spacing w:line="360" w:lineRule="auto"/>
        <w:ind w:firstLine="420"/>
        <w:rPr>
          <w:rFonts w:hint="eastAsia" w:ascii="宋体" w:hAnsi="宋体" w:eastAsia="宋体" w:cs="宋体"/>
          <w:color w:val="auto"/>
          <w:kern w:val="1"/>
          <w:sz w:val="24"/>
          <w:szCs w:val="24"/>
        </w:rPr>
      </w:pPr>
    </w:p>
    <w:p>
      <w:pPr>
        <w:spacing w:line="360" w:lineRule="auto"/>
        <w:ind w:firstLine="420"/>
        <w:rPr>
          <w:rFonts w:hint="eastAsia" w:ascii="宋体" w:hAnsi="宋体" w:eastAsia="宋体" w:cs="宋体"/>
          <w:color w:val="auto"/>
          <w:kern w:val="1"/>
          <w:sz w:val="24"/>
          <w:szCs w:val="24"/>
        </w:rPr>
      </w:pPr>
    </w:p>
    <w:p>
      <w:pPr>
        <w:spacing w:line="360" w:lineRule="auto"/>
        <w:ind w:firstLine="420"/>
        <w:rPr>
          <w:rFonts w:hint="eastAsia" w:ascii="宋体" w:hAnsi="宋体" w:eastAsia="宋体" w:cs="宋体"/>
          <w:color w:val="auto"/>
          <w:kern w:val="1"/>
          <w:sz w:val="24"/>
          <w:szCs w:val="24"/>
        </w:rPr>
      </w:pPr>
    </w:p>
    <w:p>
      <w:pPr>
        <w:spacing w:line="360" w:lineRule="auto"/>
        <w:ind w:firstLine="4320" w:firstLineChars="1800"/>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参选人：（盖单位章）</w:t>
      </w:r>
    </w:p>
    <w:p>
      <w:pPr>
        <w:spacing w:line="360" w:lineRule="auto"/>
        <w:ind w:firstLine="420"/>
        <w:rPr>
          <w:rFonts w:hint="eastAsia" w:ascii="宋体" w:hAnsi="宋体" w:eastAsia="宋体" w:cs="宋体"/>
          <w:color w:val="auto"/>
          <w:kern w:val="1"/>
          <w:sz w:val="24"/>
          <w:szCs w:val="24"/>
        </w:rPr>
      </w:pPr>
    </w:p>
    <w:p>
      <w:pPr>
        <w:spacing w:line="360" w:lineRule="auto"/>
        <w:ind w:firstLine="4320" w:firstLineChars="1800"/>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法定代表人：（签字或印鉴）</w:t>
      </w:r>
    </w:p>
    <w:p>
      <w:pPr>
        <w:spacing w:line="360" w:lineRule="auto"/>
        <w:ind w:firstLine="4320" w:firstLineChars="1800"/>
        <w:rPr>
          <w:rFonts w:hint="eastAsia" w:ascii="宋体" w:hAnsi="宋体" w:eastAsia="宋体" w:cs="宋体"/>
          <w:color w:val="auto"/>
          <w:kern w:val="1"/>
          <w:sz w:val="24"/>
          <w:szCs w:val="24"/>
        </w:rPr>
      </w:pPr>
    </w:p>
    <w:p>
      <w:pPr>
        <w:spacing w:line="360" w:lineRule="auto"/>
        <w:ind w:firstLine="4320" w:firstLineChars="1800"/>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委托代理人：（签字）</w:t>
      </w:r>
    </w:p>
    <w:p>
      <w:pPr>
        <w:spacing w:line="360" w:lineRule="auto"/>
        <w:ind w:firstLine="4320" w:firstLineChars="1800"/>
        <w:rPr>
          <w:rFonts w:hint="eastAsia" w:ascii="宋体" w:hAnsi="宋体" w:eastAsia="宋体" w:cs="宋体"/>
          <w:color w:val="auto"/>
          <w:kern w:val="1"/>
          <w:sz w:val="24"/>
          <w:szCs w:val="24"/>
        </w:rPr>
      </w:pPr>
    </w:p>
    <w:p>
      <w:pPr>
        <w:spacing w:line="360" w:lineRule="auto"/>
        <w:ind w:firstLine="4320" w:firstLineChars="1800"/>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身份证号码：</w:t>
      </w:r>
    </w:p>
    <w:p>
      <w:pPr>
        <w:spacing w:line="360" w:lineRule="auto"/>
        <w:ind w:firstLine="5355"/>
        <w:rPr>
          <w:rFonts w:hint="eastAsia" w:ascii="宋体" w:hAnsi="宋体" w:eastAsia="宋体" w:cs="宋体"/>
          <w:color w:val="auto"/>
          <w:kern w:val="1"/>
          <w:sz w:val="24"/>
          <w:szCs w:val="24"/>
        </w:rPr>
      </w:pPr>
    </w:p>
    <w:p>
      <w:pPr>
        <w:spacing w:line="360" w:lineRule="auto"/>
        <w:ind w:firstLine="4725"/>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年      月    日</w:t>
      </w:r>
    </w:p>
    <w:p>
      <w:pPr>
        <w:pStyle w:val="22"/>
        <w:spacing w:line="360" w:lineRule="auto"/>
        <w:rPr>
          <w:rFonts w:hint="eastAsia" w:ascii="宋体" w:hAnsi="宋体" w:eastAsia="宋体" w:cs="宋体"/>
          <w:color w:val="auto"/>
        </w:rPr>
        <w:sectPr>
          <w:pgSz w:w="11906" w:h="16838"/>
          <w:pgMar w:top="1418" w:right="1134" w:bottom="1418" w:left="1134" w:header="851" w:footer="992" w:gutter="0"/>
          <w:cols w:space="720" w:num="1"/>
        </w:sectPr>
      </w:pPr>
    </w:p>
    <w:p>
      <w:pPr>
        <w:pStyle w:val="22"/>
        <w:spacing w:line="360" w:lineRule="auto"/>
        <w:rPr>
          <w:rFonts w:hint="eastAsia" w:ascii="宋体" w:hAnsi="宋体" w:eastAsia="宋体" w:cs="宋体"/>
          <w:color w:val="auto"/>
        </w:rPr>
      </w:pPr>
      <w:bookmarkStart w:id="47" w:name="_Toc129763156"/>
      <w:r>
        <w:rPr>
          <w:rFonts w:hint="eastAsia" w:ascii="宋体" w:hAnsi="宋体" w:eastAsia="宋体" w:cs="宋体"/>
          <w:color w:val="auto"/>
        </w:rPr>
        <w:t>四、服务承诺及报价</w:t>
      </w:r>
      <w:bookmarkEnd w:id="47"/>
    </w:p>
    <w:p>
      <w:pPr>
        <w:spacing w:line="360" w:lineRule="auto"/>
        <w:jc w:val="center"/>
        <w:rPr>
          <w:rFonts w:hint="eastAsia" w:ascii="宋体" w:hAnsi="宋体" w:eastAsia="宋体" w:cs="宋体"/>
          <w:b/>
          <w:bCs/>
          <w:color w:val="auto"/>
          <w:kern w:val="1"/>
          <w:sz w:val="28"/>
          <w:szCs w:val="28"/>
          <w:lang w:val="zh-CN"/>
        </w:rPr>
      </w:pPr>
    </w:p>
    <w:p>
      <w:pPr>
        <w:spacing w:line="360" w:lineRule="auto"/>
        <w:ind w:firstLine="420"/>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我方已仔细阅读并研究了</w:t>
      </w:r>
      <w:r>
        <w:rPr>
          <w:rFonts w:hint="eastAsia" w:ascii="宋体" w:hAnsi="宋体" w:eastAsia="宋体" w:cs="宋体"/>
          <w:bCs/>
          <w:color w:val="auto"/>
          <w:sz w:val="24"/>
          <w:szCs w:val="24"/>
          <w:u w:val="single"/>
          <w:lang w:eastAsia="zh-CN"/>
        </w:rPr>
        <w:t>驻马店市发展投资集团有限公司选聘2023年公开发行短期融资券或超短期融资券主承销商项目</w:t>
      </w:r>
      <w:r>
        <w:rPr>
          <w:rFonts w:hint="eastAsia" w:ascii="宋体" w:hAnsi="宋体" w:eastAsia="宋体" w:cs="宋体"/>
          <w:color w:val="auto"/>
          <w:kern w:val="1"/>
          <w:sz w:val="24"/>
          <w:szCs w:val="24"/>
        </w:rPr>
        <w:t>比选文件的全部内容（包含本项目的所有补遗、澄清和变更资料)，我们完全熟悉其中的要求、条款和条件。我们愿意以如下的价格约定对本项目进行实施和完成。</w:t>
      </w:r>
    </w:p>
    <w:p>
      <w:pPr>
        <w:spacing w:line="360" w:lineRule="auto"/>
        <w:ind w:firstLine="420"/>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承销费率：</w:t>
      </w:r>
      <w:r>
        <w:rPr>
          <w:rFonts w:hint="eastAsia" w:ascii="宋体" w:hAnsi="宋体" w:eastAsia="宋体" w:cs="宋体"/>
          <w:color w:val="auto"/>
          <w:kern w:val="1"/>
          <w:sz w:val="24"/>
          <w:szCs w:val="24"/>
          <w:u w:val="single"/>
        </w:rPr>
        <w:t xml:space="preserve">        % /年</w:t>
      </w:r>
    </w:p>
    <w:p>
      <w:pPr>
        <w:spacing w:line="360" w:lineRule="auto"/>
        <w:ind w:firstLine="420"/>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我方承诺在参选有效期内不修改、撤销比选响应文件。</w:t>
      </w:r>
    </w:p>
    <w:p>
      <w:pPr>
        <w:spacing w:line="360" w:lineRule="auto"/>
        <w:ind w:firstLine="420"/>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如我方中选，我方承诺：</w:t>
      </w:r>
    </w:p>
    <w:p>
      <w:pPr>
        <w:spacing w:line="360" w:lineRule="auto"/>
        <w:ind w:firstLine="420"/>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1、无条件接受比选人按照有关规定进行考评和动态管理；</w:t>
      </w:r>
    </w:p>
    <w:p>
      <w:pPr>
        <w:spacing w:line="360" w:lineRule="auto"/>
        <w:ind w:firstLine="420"/>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2、拟为比选人服务的项目负责人固定，其他人员相对固定，未经比选人许可，不作调整；</w:t>
      </w:r>
    </w:p>
    <w:p>
      <w:pPr>
        <w:spacing w:line="360" w:lineRule="auto"/>
        <w:ind w:firstLine="420"/>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3、确保承销业务合法合规，最大限度维护比选人利益；</w:t>
      </w:r>
    </w:p>
    <w:p>
      <w:pPr>
        <w:spacing w:line="360" w:lineRule="auto"/>
        <w:ind w:firstLine="420"/>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4、如我单位成为成交人我单位承诺：对本项目</w:t>
      </w:r>
      <w:r>
        <w:rPr>
          <w:rFonts w:hint="eastAsia" w:ascii="宋体" w:hAnsi="宋体" w:eastAsia="宋体" w:cs="宋体"/>
          <w:color w:val="auto"/>
          <w:sz w:val="24"/>
          <w:szCs w:val="24"/>
        </w:rPr>
        <w:t>承销方式为余额包销</w:t>
      </w:r>
      <w:r>
        <w:rPr>
          <w:rFonts w:hint="eastAsia" w:ascii="宋体" w:hAnsi="宋体" w:eastAsia="宋体" w:cs="宋体"/>
          <w:color w:val="auto"/>
          <w:kern w:val="1"/>
          <w:sz w:val="24"/>
          <w:szCs w:val="24"/>
        </w:rPr>
        <w:t>，如不能满足要求时，发行人有权指定分销机构进行分销，我单位向分销机构支付相应金额的承销费。</w:t>
      </w:r>
    </w:p>
    <w:p>
      <w:pPr>
        <w:spacing w:line="360" w:lineRule="auto"/>
        <w:ind w:firstLine="420"/>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我方在此声明，所递交的比选响应文件及有关资料内容完整、真实、合法和准确，若比选人发现我方弄虚作假，可立即取消我方参选资格。</w:t>
      </w:r>
    </w:p>
    <w:p>
      <w:pPr>
        <w:spacing w:line="360" w:lineRule="auto"/>
        <w:ind w:firstLine="420"/>
        <w:rPr>
          <w:rFonts w:hint="eastAsia" w:ascii="宋体" w:hAnsi="宋体" w:eastAsia="宋体" w:cs="宋体"/>
          <w:color w:val="auto"/>
          <w:kern w:val="1"/>
          <w:sz w:val="24"/>
          <w:szCs w:val="24"/>
        </w:rPr>
      </w:pPr>
    </w:p>
    <w:p>
      <w:pPr>
        <w:spacing w:line="360" w:lineRule="auto"/>
        <w:ind w:firstLine="420"/>
        <w:rPr>
          <w:rFonts w:hint="eastAsia" w:ascii="宋体" w:hAnsi="宋体" w:eastAsia="宋体" w:cs="宋体"/>
          <w:color w:val="auto"/>
          <w:kern w:val="1"/>
          <w:sz w:val="24"/>
          <w:szCs w:val="24"/>
        </w:rPr>
      </w:pPr>
    </w:p>
    <w:p>
      <w:pPr>
        <w:spacing w:line="360" w:lineRule="auto"/>
        <w:ind w:firstLine="420"/>
        <w:rPr>
          <w:rFonts w:hint="eastAsia" w:ascii="宋体" w:hAnsi="宋体" w:eastAsia="宋体" w:cs="宋体"/>
          <w:color w:val="auto"/>
          <w:kern w:val="1"/>
          <w:sz w:val="24"/>
          <w:szCs w:val="24"/>
        </w:rPr>
      </w:pPr>
    </w:p>
    <w:p>
      <w:pPr>
        <w:spacing w:line="360" w:lineRule="auto"/>
        <w:ind w:firstLine="420"/>
        <w:rPr>
          <w:rFonts w:hint="eastAsia" w:ascii="宋体" w:hAnsi="宋体" w:eastAsia="宋体" w:cs="宋体"/>
          <w:color w:val="auto"/>
          <w:kern w:val="1"/>
          <w:sz w:val="24"/>
          <w:szCs w:val="24"/>
        </w:rPr>
      </w:pPr>
    </w:p>
    <w:p>
      <w:pPr>
        <w:spacing w:line="360" w:lineRule="auto"/>
        <w:ind w:firstLine="2400" w:firstLineChars="1000"/>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参选人：（单位盖章）</w:t>
      </w:r>
    </w:p>
    <w:p>
      <w:pPr>
        <w:spacing w:line="360" w:lineRule="auto"/>
        <w:ind w:firstLine="2160" w:firstLineChars="900"/>
        <w:rPr>
          <w:rFonts w:hint="eastAsia" w:ascii="宋体" w:hAnsi="宋体" w:eastAsia="宋体" w:cs="宋体"/>
          <w:color w:val="auto"/>
          <w:kern w:val="1"/>
          <w:sz w:val="24"/>
          <w:szCs w:val="24"/>
        </w:rPr>
      </w:pPr>
    </w:p>
    <w:p>
      <w:pPr>
        <w:spacing w:line="360" w:lineRule="auto"/>
        <w:ind w:firstLine="2400" w:firstLineChars="1000"/>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法定代表人或其委托代理人：</w:t>
      </w:r>
      <w:r>
        <w:rPr>
          <w:rFonts w:hint="eastAsia" w:ascii="宋体" w:hAnsi="宋体" w:eastAsia="宋体" w:cs="宋体"/>
          <w:color w:val="auto"/>
          <w:kern w:val="1"/>
          <w:sz w:val="24"/>
          <w:szCs w:val="24"/>
          <w:u w:val="single"/>
          <w:lang w:val="en-US" w:eastAsia="zh-CN"/>
        </w:rPr>
        <w:t xml:space="preserve">      </w:t>
      </w:r>
      <w:r>
        <w:rPr>
          <w:rFonts w:hint="eastAsia" w:ascii="宋体" w:hAnsi="宋体" w:eastAsia="宋体" w:cs="宋体"/>
          <w:color w:val="auto"/>
          <w:kern w:val="1"/>
          <w:sz w:val="24"/>
          <w:szCs w:val="24"/>
          <w:u w:val="single"/>
        </w:rPr>
        <w:t>（</w:t>
      </w:r>
      <w:r>
        <w:rPr>
          <w:rFonts w:hint="eastAsia" w:ascii="宋体" w:hAnsi="宋体" w:eastAsia="宋体" w:cs="宋体"/>
          <w:color w:val="auto"/>
          <w:kern w:val="1"/>
          <w:sz w:val="24"/>
          <w:szCs w:val="24"/>
        </w:rPr>
        <w:t>签字或盖章）</w:t>
      </w:r>
    </w:p>
    <w:p>
      <w:pPr>
        <w:spacing w:line="360" w:lineRule="auto"/>
        <w:ind w:firstLine="420"/>
        <w:rPr>
          <w:rFonts w:hint="eastAsia" w:ascii="宋体" w:hAnsi="宋体" w:eastAsia="宋体" w:cs="宋体"/>
          <w:color w:val="auto"/>
          <w:kern w:val="1"/>
          <w:sz w:val="28"/>
          <w:szCs w:val="28"/>
        </w:rPr>
      </w:pPr>
    </w:p>
    <w:p>
      <w:pPr>
        <w:spacing w:line="360" w:lineRule="auto"/>
        <w:ind w:firstLine="3080" w:firstLineChars="1100"/>
        <w:rPr>
          <w:rFonts w:hint="eastAsia" w:ascii="宋体" w:hAnsi="宋体" w:eastAsia="宋体" w:cs="宋体"/>
          <w:color w:val="auto"/>
          <w:kern w:val="1"/>
          <w:sz w:val="28"/>
          <w:szCs w:val="28"/>
        </w:rPr>
      </w:pPr>
      <w:r>
        <w:rPr>
          <w:rFonts w:hint="eastAsia" w:ascii="宋体" w:hAnsi="宋体" w:eastAsia="宋体" w:cs="宋体"/>
          <w:color w:val="auto"/>
          <w:kern w:val="1"/>
          <w:sz w:val="28"/>
          <w:szCs w:val="28"/>
        </w:rPr>
        <w:t>年    月   日</w:t>
      </w:r>
    </w:p>
    <w:p>
      <w:pPr>
        <w:pStyle w:val="13"/>
        <w:spacing w:line="360" w:lineRule="auto"/>
        <w:ind w:firstLine="0"/>
        <w:rPr>
          <w:rFonts w:hint="eastAsia" w:ascii="宋体" w:hAnsi="宋体" w:eastAsia="宋体" w:cs="宋体"/>
          <w:color w:val="auto"/>
          <w:sz w:val="24"/>
          <w:szCs w:val="24"/>
        </w:rPr>
        <w:sectPr>
          <w:pgSz w:w="11906" w:h="16838"/>
          <w:pgMar w:top="1418" w:right="1134" w:bottom="1418" w:left="1134" w:header="851" w:footer="992" w:gutter="0"/>
          <w:cols w:space="720" w:num="1"/>
        </w:sectPr>
      </w:pPr>
    </w:p>
    <w:p>
      <w:pPr>
        <w:pStyle w:val="22"/>
        <w:spacing w:line="360" w:lineRule="auto"/>
        <w:rPr>
          <w:rFonts w:hint="eastAsia" w:ascii="宋体" w:hAnsi="宋体" w:eastAsia="宋体" w:cs="宋体"/>
          <w:color w:val="auto"/>
        </w:rPr>
      </w:pPr>
      <w:bookmarkStart w:id="48" w:name="_Toc129763157"/>
      <w:r>
        <w:rPr>
          <w:rFonts w:hint="eastAsia" w:ascii="宋体" w:hAnsi="宋体" w:eastAsia="宋体" w:cs="宋体"/>
          <w:color w:val="auto"/>
        </w:rPr>
        <w:t>五、比选资格证明文件构成</w:t>
      </w:r>
      <w:bookmarkEnd w:id="48"/>
    </w:p>
    <w:p>
      <w:pPr>
        <w:spacing w:line="360" w:lineRule="auto"/>
        <w:jc w:val="center"/>
        <w:rPr>
          <w:rFonts w:hint="eastAsia" w:ascii="宋体" w:hAnsi="宋体" w:eastAsia="宋体" w:cs="宋体"/>
          <w:color w:val="auto"/>
          <w:kern w:val="1"/>
          <w:sz w:val="24"/>
          <w:szCs w:val="24"/>
        </w:rPr>
      </w:pPr>
    </w:p>
    <w:p>
      <w:pPr>
        <w:spacing w:line="360" w:lineRule="auto"/>
        <w:ind w:firstLine="420"/>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1、参选单位营业执照、资质证书；</w:t>
      </w:r>
    </w:p>
    <w:p>
      <w:pPr>
        <w:pStyle w:val="34"/>
        <w:numPr>
          <w:ilvl w:val="0"/>
          <w:numId w:val="16"/>
        </w:numPr>
        <w:spacing w:line="360" w:lineRule="auto"/>
        <w:ind w:firstLineChars="0"/>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其他认为有必要提供的证明文件和资料；</w:t>
      </w:r>
    </w:p>
    <w:p>
      <w:pPr>
        <w:pStyle w:val="34"/>
        <w:numPr>
          <w:ilvl w:val="0"/>
          <w:numId w:val="16"/>
        </w:numPr>
        <w:spacing w:line="360" w:lineRule="auto"/>
        <w:ind w:firstLineChars="0"/>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联合体各方均应提供相关资格证明文件，并加盖公章。</w:t>
      </w:r>
    </w:p>
    <w:p>
      <w:pPr>
        <w:spacing w:line="360" w:lineRule="auto"/>
        <w:ind w:firstLine="420"/>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以上参选单位所有证明文件、资料复印件须加盖报价单位公章予以认可。</w:t>
      </w:r>
    </w:p>
    <w:p>
      <w:pPr>
        <w:spacing w:line="360" w:lineRule="auto"/>
        <w:rPr>
          <w:rFonts w:hint="eastAsia" w:ascii="宋体" w:hAnsi="宋体" w:eastAsia="宋体" w:cs="宋体"/>
          <w:color w:val="auto"/>
          <w:kern w:val="1"/>
          <w:sz w:val="24"/>
        </w:rPr>
      </w:pPr>
    </w:p>
    <w:p>
      <w:pPr>
        <w:spacing w:line="360" w:lineRule="auto"/>
        <w:rPr>
          <w:rFonts w:hint="eastAsia" w:ascii="宋体" w:hAnsi="宋体" w:eastAsia="宋体" w:cs="宋体"/>
          <w:color w:val="auto"/>
          <w:kern w:val="1"/>
          <w:sz w:val="24"/>
        </w:rPr>
      </w:pPr>
    </w:p>
    <w:p>
      <w:pPr>
        <w:spacing w:line="360" w:lineRule="auto"/>
        <w:rPr>
          <w:rFonts w:hint="eastAsia" w:ascii="宋体" w:hAnsi="宋体" w:eastAsia="宋体" w:cs="宋体"/>
          <w:color w:val="auto"/>
          <w:kern w:val="1"/>
          <w:sz w:val="24"/>
        </w:rPr>
      </w:pPr>
    </w:p>
    <w:p>
      <w:pPr>
        <w:spacing w:line="360" w:lineRule="auto"/>
        <w:rPr>
          <w:rFonts w:hint="eastAsia" w:ascii="宋体" w:hAnsi="宋体" w:eastAsia="宋体" w:cs="宋体"/>
          <w:color w:val="auto"/>
          <w:kern w:val="1"/>
          <w:sz w:val="24"/>
        </w:rPr>
      </w:pPr>
    </w:p>
    <w:p>
      <w:pPr>
        <w:spacing w:line="360" w:lineRule="auto"/>
        <w:rPr>
          <w:rFonts w:hint="eastAsia" w:ascii="宋体" w:hAnsi="宋体" w:eastAsia="宋体" w:cs="宋体"/>
          <w:color w:val="auto"/>
          <w:kern w:val="1"/>
          <w:sz w:val="24"/>
        </w:rPr>
      </w:pPr>
    </w:p>
    <w:p>
      <w:pPr>
        <w:spacing w:line="360" w:lineRule="auto"/>
        <w:rPr>
          <w:rFonts w:hint="eastAsia" w:ascii="宋体" w:hAnsi="宋体" w:eastAsia="宋体" w:cs="宋体"/>
          <w:color w:val="auto"/>
          <w:kern w:val="1"/>
          <w:sz w:val="24"/>
        </w:rPr>
      </w:pPr>
    </w:p>
    <w:p>
      <w:pPr>
        <w:spacing w:line="360" w:lineRule="auto"/>
        <w:rPr>
          <w:rFonts w:hint="eastAsia" w:ascii="宋体" w:hAnsi="宋体" w:eastAsia="宋体" w:cs="宋体"/>
          <w:color w:val="auto"/>
          <w:kern w:val="1"/>
          <w:sz w:val="24"/>
        </w:rPr>
      </w:pPr>
    </w:p>
    <w:p>
      <w:pPr>
        <w:spacing w:line="360" w:lineRule="auto"/>
        <w:rPr>
          <w:rFonts w:hint="eastAsia" w:ascii="宋体" w:hAnsi="宋体" w:eastAsia="宋体" w:cs="宋体"/>
          <w:color w:val="auto"/>
          <w:kern w:val="1"/>
          <w:sz w:val="24"/>
        </w:rPr>
      </w:pPr>
    </w:p>
    <w:p>
      <w:pPr>
        <w:spacing w:line="360" w:lineRule="auto"/>
        <w:rPr>
          <w:rFonts w:hint="eastAsia" w:ascii="宋体" w:hAnsi="宋体" w:eastAsia="宋体" w:cs="宋体"/>
          <w:color w:val="auto"/>
          <w:kern w:val="1"/>
          <w:sz w:val="24"/>
        </w:rPr>
      </w:pPr>
    </w:p>
    <w:p>
      <w:pPr>
        <w:spacing w:line="360" w:lineRule="auto"/>
        <w:rPr>
          <w:rFonts w:hint="eastAsia" w:ascii="宋体" w:hAnsi="宋体" w:eastAsia="宋体" w:cs="宋体"/>
          <w:color w:val="auto"/>
          <w:kern w:val="1"/>
          <w:sz w:val="24"/>
        </w:rPr>
      </w:pPr>
    </w:p>
    <w:p>
      <w:pPr>
        <w:spacing w:line="360" w:lineRule="auto"/>
        <w:rPr>
          <w:rFonts w:hint="eastAsia" w:ascii="宋体" w:hAnsi="宋体" w:eastAsia="宋体" w:cs="宋体"/>
          <w:color w:val="auto"/>
          <w:kern w:val="1"/>
          <w:sz w:val="24"/>
        </w:rPr>
      </w:pPr>
    </w:p>
    <w:p>
      <w:pPr>
        <w:spacing w:line="360" w:lineRule="auto"/>
        <w:rPr>
          <w:rFonts w:hint="eastAsia" w:ascii="宋体" w:hAnsi="宋体" w:eastAsia="宋体" w:cs="宋体"/>
          <w:color w:val="auto"/>
          <w:kern w:val="1"/>
          <w:sz w:val="24"/>
        </w:rPr>
      </w:pPr>
    </w:p>
    <w:p>
      <w:pPr>
        <w:spacing w:line="360" w:lineRule="auto"/>
        <w:rPr>
          <w:rFonts w:hint="eastAsia" w:ascii="宋体" w:hAnsi="宋体" w:eastAsia="宋体" w:cs="宋体"/>
          <w:color w:val="auto"/>
          <w:kern w:val="1"/>
          <w:sz w:val="24"/>
        </w:rPr>
      </w:pPr>
    </w:p>
    <w:p>
      <w:pPr>
        <w:spacing w:line="360" w:lineRule="auto"/>
        <w:rPr>
          <w:rFonts w:hint="eastAsia" w:ascii="宋体" w:hAnsi="宋体" w:eastAsia="宋体" w:cs="宋体"/>
          <w:color w:val="auto"/>
          <w:kern w:val="1"/>
          <w:sz w:val="24"/>
        </w:rPr>
      </w:pPr>
    </w:p>
    <w:p>
      <w:pPr>
        <w:spacing w:line="360" w:lineRule="auto"/>
        <w:rPr>
          <w:rFonts w:hint="eastAsia" w:ascii="宋体" w:hAnsi="宋体" w:eastAsia="宋体" w:cs="宋体"/>
          <w:color w:val="auto"/>
          <w:kern w:val="1"/>
          <w:sz w:val="24"/>
        </w:rPr>
      </w:pPr>
    </w:p>
    <w:p>
      <w:pPr>
        <w:spacing w:line="360" w:lineRule="auto"/>
        <w:rPr>
          <w:rFonts w:hint="eastAsia" w:ascii="宋体" w:hAnsi="宋体" w:eastAsia="宋体" w:cs="宋体"/>
          <w:color w:val="auto"/>
          <w:kern w:val="1"/>
          <w:sz w:val="24"/>
        </w:rPr>
      </w:pPr>
    </w:p>
    <w:p>
      <w:pPr>
        <w:spacing w:line="360" w:lineRule="auto"/>
        <w:rPr>
          <w:rFonts w:hint="eastAsia" w:ascii="宋体" w:hAnsi="宋体" w:eastAsia="宋体" w:cs="宋体"/>
          <w:color w:val="auto"/>
          <w:kern w:val="1"/>
          <w:sz w:val="24"/>
        </w:rPr>
      </w:pPr>
    </w:p>
    <w:p>
      <w:pPr>
        <w:spacing w:line="360" w:lineRule="auto"/>
        <w:rPr>
          <w:rFonts w:hint="eastAsia" w:ascii="宋体" w:hAnsi="宋体" w:eastAsia="宋体" w:cs="宋体"/>
          <w:color w:val="auto"/>
          <w:kern w:val="1"/>
          <w:sz w:val="24"/>
        </w:rPr>
      </w:pPr>
    </w:p>
    <w:p>
      <w:pPr>
        <w:spacing w:line="360" w:lineRule="auto"/>
        <w:rPr>
          <w:rFonts w:hint="eastAsia" w:ascii="宋体" w:hAnsi="宋体" w:eastAsia="宋体" w:cs="宋体"/>
          <w:color w:val="auto"/>
          <w:kern w:val="1"/>
          <w:sz w:val="24"/>
        </w:rPr>
      </w:pPr>
    </w:p>
    <w:p>
      <w:pPr>
        <w:spacing w:line="360" w:lineRule="auto"/>
        <w:rPr>
          <w:rFonts w:hint="eastAsia" w:ascii="宋体" w:hAnsi="宋体" w:eastAsia="宋体" w:cs="宋体"/>
          <w:color w:val="auto"/>
          <w:kern w:val="1"/>
          <w:sz w:val="24"/>
        </w:rPr>
      </w:pPr>
    </w:p>
    <w:p>
      <w:pPr>
        <w:spacing w:line="360" w:lineRule="auto"/>
        <w:rPr>
          <w:rFonts w:hint="eastAsia" w:ascii="宋体" w:hAnsi="宋体" w:eastAsia="宋体" w:cs="宋体"/>
          <w:color w:val="auto"/>
          <w:kern w:val="1"/>
          <w:sz w:val="24"/>
        </w:rPr>
        <w:sectPr>
          <w:pgSz w:w="11906" w:h="16838"/>
          <w:pgMar w:top="1418" w:right="1134" w:bottom="1418" w:left="1134" w:header="851" w:footer="992" w:gutter="0"/>
          <w:cols w:space="720" w:num="1"/>
        </w:sectPr>
      </w:pPr>
    </w:p>
    <w:p>
      <w:pPr>
        <w:pStyle w:val="22"/>
        <w:spacing w:line="360" w:lineRule="auto"/>
        <w:rPr>
          <w:rFonts w:hint="eastAsia" w:ascii="宋体" w:hAnsi="宋体" w:eastAsia="宋体" w:cs="宋体"/>
          <w:color w:val="auto"/>
        </w:rPr>
      </w:pPr>
      <w:bookmarkStart w:id="49" w:name="_Toc129763158"/>
      <w:r>
        <w:rPr>
          <w:rFonts w:hint="eastAsia" w:ascii="宋体" w:hAnsi="宋体" w:eastAsia="宋体" w:cs="宋体"/>
          <w:color w:val="auto"/>
        </w:rPr>
        <w:t>六、企业简介</w:t>
      </w:r>
      <w:bookmarkEnd w:id="49"/>
    </w:p>
    <w:p>
      <w:pPr>
        <w:spacing w:line="360" w:lineRule="auto"/>
        <w:jc w:val="left"/>
        <w:rPr>
          <w:rFonts w:hint="eastAsia" w:ascii="宋体" w:hAnsi="宋体" w:eastAsia="宋体" w:cs="宋体"/>
          <w:color w:val="auto"/>
          <w:kern w:val="1"/>
          <w:sz w:val="24"/>
        </w:rPr>
      </w:pPr>
      <w:r>
        <w:rPr>
          <w:rFonts w:hint="eastAsia" w:ascii="宋体" w:hAnsi="宋体" w:eastAsia="宋体" w:cs="宋体"/>
          <w:color w:val="auto"/>
          <w:kern w:val="1"/>
          <w:sz w:val="24"/>
        </w:rPr>
        <w:t>表1</w:t>
      </w:r>
    </w:p>
    <w:tbl>
      <w:tblPr>
        <w:tblStyle w:val="28"/>
        <w:tblW w:w="9201" w:type="dxa"/>
        <w:jc w:val="center"/>
        <w:tblLayout w:type="fixed"/>
        <w:tblCellMar>
          <w:top w:w="0" w:type="dxa"/>
          <w:left w:w="108" w:type="dxa"/>
          <w:bottom w:w="0" w:type="dxa"/>
          <w:right w:w="108" w:type="dxa"/>
        </w:tblCellMar>
      </w:tblPr>
      <w:tblGrid>
        <w:gridCol w:w="2142"/>
        <w:gridCol w:w="1206"/>
        <w:gridCol w:w="1836"/>
        <w:gridCol w:w="1356"/>
        <w:gridCol w:w="1570"/>
        <w:gridCol w:w="1091"/>
      </w:tblGrid>
      <w:tr>
        <w:tblPrEx>
          <w:tblCellMar>
            <w:top w:w="0" w:type="dxa"/>
            <w:left w:w="108" w:type="dxa"/>
            <w:bottom w:w="0" w:type="dxa"/>
            <w:right w:w="108" w:type="dxa"/>
          </w:tblCellMar>
        </w:tblPrEx>
        <w:trPr>
          <w:trHeight w:val="771" w:hRule="atLeast"/>
          <w:jc w:val="center"/>
        </w:trPr>
        <w:tc>
          <w:tcPr>
            <w:tcW w:w="214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1"/>
                <w:sz w:val="24"/>
              </w:rPr>
            </w:pPr>
            <w:r>
              <w:rPr>
                <w:rFonts w:hint="eastAsia" w:ascii="宋体" w:hAnsi="宋体" w:eastAsia="宋体" w:cs="宋体"/>
                <w:color w:val="auto"/>
                <w:kern w:val="1"/>
                <w:sz w:val="24"/>
              </w:rPr>
              <w:t>企业注册名称</w:t>
            </w:r>
          </w:p>
        </w:tc>
        <w:tc>
          <w:tcPr>
            <w:tcW w:w="120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1"/>
                <w:sz w:val="24"/>
              </w:rPr>
            </w:pPr>
          </w:p>
        </w:tc>
        <w:tc>
          <w:tcPr>
            <w:tcW w:w="18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1"/>
                <w:sz w:val="24"/>
              </w:rPr>
            </w:pPr>
            <w:r>
              <w:rPr>
                <w:rFonts w:hint="eastAsia" w:ascii="宋体" w:hAnsi="宋体" w:eastAsia="宋体" w:cs="宋体"/>
                <w:color w:val="auto"/>
                <w:kern w:val="1"/>
                <w:sz w:val="24"/>
              </w:rPr>
              <w:t>注册资金总额</w:t>
            </w:r>
          </w:p>
        </w:tc>
        <w:tc>
          <w:tcPr>
            <w:tcW w:w="135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1"/>
                <w:sz w:val="24"/>
              </w:rPr>
            </w:pPr>
          </w:p>
        </w:tc>
        <w:tc>
          <w:tcPr>
            <w:tcW w:w="15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1"/>
                <w:sz w:val="24"/>
              </w:rPr>
            </w:pPr>
            <w:r>
              <w:rPr>
                <w:rFonts w:hint="eastAsia" w:ascii="宋体" w:hAnsi="宋体" w:eastAsia="宋体" w:cs="宋体"/>
                <w:color w:val="auto"/>
                <w:kern w:val="1"/>
                <w:sz w:val="24"/>
              </w:rPr>
              <w:t>成立日期</w:t>
            </w:r>
          </w:p>
        </w:tc>
        <w:tc>
          <w:tcPr>
            <w:tcW w:w="10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1"/>
                <w:sz w:val="24"/>
              </w:rPr>
            </w:pPr>
          </w:p>
        </w:tc>
      </w:tr>
      <w:tr>
        <w:tblPrEx>
          <w:tblCellMar>
            <w:top w:w="0" w:type="dxa"/>
            <w:left w:w="108" w:type="dxa"/>
            <w:bottom w:w="0" w:type="dxa"/>
            <w:right w:w="108" w:type="dxa"/>
          </w:tblCellMar>
        </w:tblPrEx>
        <w:trPr>
          <w:trHeight w:val="608" w:hRule="atLeast"/>
          <w:jc w:val="center"/>
        </w:trPr>
        <w:tc>
          <w:tcPr>
            <w:tcW w:w="214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1"/>
                <w:sz w:val="24"/>
              </w:rPr>
            </w:pPr>
            <w:r>
              <w:rPr>
                <w:rFonts w:hint="eastAsia" w:ascii="宋体" w:hAnsi="宋体" w:eastAsia="宋体" w:cs="宋体"/>
                <w:color w:val="auto"/>
                <w:kern w:val="1"/>
                <w:sz w:val="24"/>
              </w:rPr>
              <w:t>企业法定代表人</w:t>
            </w:r>
          </w:p>
        </w:tc>
        <w:tc>
          <w:tcPr>
            <w:tcW w:w="120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1"/>
                <w:sz w:val="24"/>
              </w:rPr>
            </w:pPr>
          </w:p>
        </w:tc>
        <w:tc>
          <w:tcPr>
            <w:tcW w:w="18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1"/>
                <w:sz w:val="24"/>
              </w:rPr>
            </w:pPr>
            <w:r>
              <w:rPr>
                <w:rFonts w:hint="eastAsia" w:ascii="宋体" w:hAnsi="宋体" w:eastAsia="宋体" w:cs="宋体"/>
                <w:color w:val="auto"/>
                <w:kern w:val="1"/>
                <w:sz w:val="24"/>
              </w:rPr>
              <w:t>经营方式</w:t>
            </w:r>
          </w:p>
        </w:tc>
        <w:tc>
          <w:tcPr>
            <w:tcW w:w="135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1"/>
                <w:sz w:val="24"/>
              </w:rPr>
            </w:pPr>
          </w:p>
        </w:tc>
        <w:tc>
          <w:tcPr>
            <w:tcW w:w="15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1"/>
                <w:sz w:val="24"/>
              </w:rPr>
            </w:pPr>
            <w:r>
              <w:rPr>
                <w:rFonts w:hint="eastAsia" w:ascii="宋体" w:hAnsi="宋体" w:eastAsia="宋体" w:cs="宋体"/>
                <w:color w:val="auto"/>
                <w:kern w:val="1"/>
                <w:sz w:val="24"/>
              </w:rPr>
              <w:t>企业性质</w:t>
            </w:r>
          </w:p>
        </w:tc>
        <w:tc>
          <w:tcPr>
            <w:tcW w:w="10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1"/>
                <w:sz w:val="24"/>
              </w:rPr>
            </w:pPr>
          </w:p>
        </w:tc>
      </w:tr>
      <w:tr>
        <w:tblPrEx>
          <w:tblCellMar>
            <w:top w:w="0" w:type="dxa"/>
            <w:left w:w="108" w:type="dxa"/>
            <w:bottom w:w="0" w:type="dxa"/>
            <w:right w:w="108" w:type="dxa"/>
          </w:tblCellMar>
        </w:tblPrEx>
        <w:trPr>
          <w:cantSplit/>
          <w:trHeight w:val="726" w:hRule="atLeast"/>
          <w:jc w:val="center"/>
        </w:trPr>
        <w:tc>
          <w:tcPr>
            <w:tcW w:w="214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1"/>
                <w:sz w:val="24"/>
              </w:rPr>
            </w:pPr>
            <w:r>
              <w:rPr>
                <w:rFonts w:hint="eastAsia" w:ascii="宋体" w:hAnsi="宋体" w:eastAsia="宋体" w:cs="宋体"/>
                <w:color w:val="auto"/>
                <w:kern w:val="1"/>
                <w:sz w:val="24"/>
              </w:rPr>
              <w:t>上级主管部门</w:t>
            </w:r>
          </w:p>
        </w:tc>
        <w:tc>
          <w:tcPr>
            <w:tcW w:w="7059"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1"/>
                <w:sz w:val="24"/>
              </w:rPr>
            </w:pPr>
          </w:p>
        </w:tc>
      </w:tr>
      <w:tr>
        <w:trPr>
          <w:cantSplit/>
          <w:trHeight w:val="920" w:hRule="atLeast"/>
          <w:jc w:val="center"/>
        </w:trPr>
        <w:tc>
          <w:tcPr>
            <w:tcW w:w="214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1"/>
                <w:sz w:val="24"/>
              </w:rPr>
            </w:pPr>
            <w:r>
              <w:rPr>
                <w:rFonts w:hint="eastAsia" w:ascii="宋体" w:hAnsi="宋体" w:eastAsia="宋体" w:cs="宋体"/>
                <w:color w:val="auto"/>
                <w:kern w:val="1"/>
                <w:sz w:val="24"/>
              </w:rPr>
              <w:t>批准成立机构</w:t>
            </w:r>
          </w:p>
        </w:tc>
        <w:tc>
          <w:tcPr>
            <w:tcW w:w="7059"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1"/>
                <w:sz w:val="24"/>
              </w:rPr>
            </w:pPr>
          </w:p>
        </w:tc>
      </w:tr>
      <w:tr>
        <w:tblPrEx>
          <w:tblCellMar>
            <w:top w:w="0" w:type="dxa"/>
            <w:left w:w="108" w:type="dxa"/>
            <w:bottom w:w="0" w:type="dxa"/>
            <w:right w:w="108" w:type="dxa"/>
          </w:tblCellMar>
        </w:tblPrEx>
        <w:trPr>
          <w:cantSplit/>
          <w:trHeight w:val="920" w:hRule="atLeast"/>
          <w:jc w:val="center"/>
        </w:trPr>
        <w:tc>
          <w:tcPr>
            <w:tcW w:w="214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1"/>
                <w:sz w:val="24"/>
              </w:rPr>
            </w:pPr>
            <w:r>
              <w:rPr>
                <w:rFonts w:hint="eastAsia" w:ascii="宋体" w:hAnsi="宋体" w:eastAsia="宋体" w:cs="宋体"/>
                <w:color w:val="auto"/>
                <w:kern w:val="1"/>
                <w:sz w:val="24"/>
              </w:rPr>
              <w:t>注册地址</w:t>
            </w:r>
          </w:p>
        </w:tc>
        <w:tc>
          <w:tcPr>
            <w:tcW w:w="7059"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1"/>
                <w:sz w:val="24"/>
              </w:rPr>
            </w:pPr>
          </w:p>
        </w:tc>
      </w:tr>
      <w:tr>
        <w:tblPrEx>
          <w:tblCellMar>
            <w:top w:w="0" w:type="dxa"/>
            <w:left w:w="108" w:type="dxa"/>
            <w:bottom w:w="0" w:type="dxa"/>
            <w:right w:w="108" w:type="dxa"/>
          </w:tblCellMar>
        </w:tblPrEx>
        <w:trPr>
          <w:trHeight w:val="1856" w:hRule="atLeast"/>
          <w:jc w:val="center"/>
        </w:trPr>
        <w:tc>
          <w:tcPr>
            <w:tcW w:w="214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1"/>
                <w:sz w:val="24"/>
              </w:rPr>
            </w:pPr>
          </w:p>
          <w:p>
            <w:pPr>
              <w:jc w:val="center"/>
              <w:rPr>
                <w:rFonts w:hint="eastAsia" w:ascii="宋体" w:hAnsi="宋体" w:eastAsia="宋体" w:cs="宋体"/>
                <w:color w:val="auto"/>
                <w:kern w:val="1"/>
                <w:sz w:val="24"/>
              </w:rPr>
            </w:pPr>
            <w:r>
              <w:rPr>
                <w:rFonts w:hint="eastAsia" w:ascii="宋体" w:hAnsi="宋体" w:eastAsia="宋体" w:cs="宋体"/>
                <w:color w:val="auto"/>
                <w:kern w:val="1"/>
                <w:sz w:val="24"/>
              </w:rPr>
              <w:t>经营范围</w:t>
            </w:r>
          </w:p>
        </w:tc>
        <w:tc>
          <w:tcPr>
            <w:tcW w:w="7059"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1"/>
                <w:sz w:val="24"/>
              </w:rPr>
            </w:pPr>
          </w:p>
        </w:tc>
      </w:tr>
      <w:tr>
        <w:tblPrEx>
          <w:tblCellMar>
            <w:top w:w="0" w:type="dxa"/>
            <w:left w:w="108" w:type="dxa"/>
            <w:bottom w:w="0" w:type="dxa"/>
            <w:right w:w="108" w:type="dxa"/>
          </w:tblCellMar>
        </w:tblPrEx>
        <w:trPr>
          <w:trHeight w:val="4825" w:hRule="atLeast"/>
          <w:jc w:val="center"/>
        </w:trPr>
        <w:tc>
          <w:tcPr>
            <w:tcW w:w="214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1"/>
                <w:sz w:val="24"/>
              </w:rPr>
            </w:pPr>
            <w:r>
              <w:rPr>
                <w:rFonts w:hint="eastAsia" w:ascii="宋体" w:hAnsi="宋体" w:eastAsia="宋体" w:cs="宋体"/>
                <w:color w:val="auto"/>
                <w:kern w:val="1"/>
                <w:sz w:val="24"/>
              </w:rPr>
              <w:t>企业简介</w:t>
            </w:r>
          </w:p>
        </w:tc>
        <w:tc>
          <w:tcPr>
            <w:tcW w:w="7059"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1"/>
                <w:sz w:val="24"/>
              </w:rPr>
            </w:pPr>
          </w:p>
        </w:tc>
      </w:tr>
    </w:tbl>
    <w:p>
      <w:pPr>
        <w:spacing w:line="360" w:lineRule="auto"/>
        <w:rPr>
          <w:rFonts w:hint="eastAsia" w:ascii="宋体" w:hAnsi="宋体" w:eastAsia="宋体" w:cs="宋体"/>
          <w:bCs/>
          <w:color w:val="auto"/>
          <w:kern w:val="1"/>
          <w:sz w:val="24"/>
          <w:szCs w:val="24"/>
        </w:rPr>
        <w:sectPr>
          <w:footerReference r:id="rId9" w:type="first"/>
          <w:footerReference r:id="rId8" w:type="default"/>
          <w:pgSz w:w="11906" w:h="16838"/>
          <w:pgMar w:top="1701" w:right="1701" w:bottom="1418" w:left="1701" w:header="851" w:footer="992" w:gutter="0"/>
          <w:cols w:space="425" w:num="1"/>
          <w:titlePg/>
          <w:docGrid w:type="lines" w:linePitch="312" w:charSpace="0"/>
        </w:sectPr>
      </w:pPr>
    </w:p>
    <w:p>
      <w:pPr>
        <w:pStyle w:val="22"/>
        <w:spacing w:line="360" w:lineRule="auto"/>
        <w:rPr>
          <w:rFonts w:hint="eastAsia" w:ascii="宋体" w:hAnsi="宋体" w:eastAsia="宋体" w:cs="宋体"/>
          <w:color w:val="auto"/>
        </w:rPr>
      </w:pPr>
      <w:bookmarkStart w:id="50" w:name="_Toc129763159"/>
      <w:r>
        <w:rPr>
          <w:rFonts w:hint="eastAsia" w:ascii="宋体" w:hAnsi="宋体" w:eastAsia="宋体" w:cs="宋体"/>
          <w:color w:val="auto"/>
        </w:rPr>
        <w:t>七、服务方案</w:t>
      </w:r>
      <w:bookmarkEnd w:id="50"/>
    </w:p>
    <w:p>
      <w:pPr>
        <w:rPr>
          <w:rFonts w:hint="eastAsia" w:ascii="宋体" w:hAnsi="宋体" w:eastAsia="宋体" w:cs="宋体"/>
          <w:color w:val="auto"/>
        </w:rPr>
      </w:pPr>
    </w:p>
    <w:p>
      <w:pPr>
        <w:widowControl/>
        <w:spacing w:line="360" w:lineRule="auto"/>
        <w:ind w:firstLine="480" w:firstLineChars="200"/>
        <w:jc w:val="left"/>
        <w:rPr>
          <w:rFonts w:hint="eastAsia" w:ascii="宋体" w:hAnsi="宋体" w:eastAsia="宋体" w:cs="宋体"/>
          <w:bCs/>
          <w:color w:val="auto"/>
          <w:sz w:val="24"/>
          <w:szCs w:val="24"/>
        </w:rPr>
        <w:sectPr>
          <w:pgSz w:w="11906" w:h="16838"/>
          <w:pgMar w:top="1701" w:right="1701" w:bottom="1418" w:left="1701" w:header="851" w:footer="992" w:gutter="0"/>
          <w:cols w:space="425" w:num="1"/>
          <w:titlePg/>
          <w:docGrid w:type="lines" w:linePitch="312" w:charSpace="0"/>
        </w:sectPr>
      </w:pPr>
    </w:p>
    <w:p>
      <w:pPr>
        <w:pStyle w:val="22"/>
        <w:spacing w:line="360" w:lineRule="auto"/>
        <w:rPr>
          <w:rFonts w:hint="eastAsia" w:ascii="宋体" w:hAnsi="宋体" w:eastAsia="宋体" w:cs="宋体"/>
          <w:color w:val="auto"/>
        </w:rPr>
      </w:pPr>
      <w:bookmarkStart w:id="51" w:name="_Toc129763160"/>
      <w:r>
        <w:rPr>
          <w:rFonts w:hint="eastAsia" w:ascii="宋体" w:hAnsi="宋体" w:eastAsia="宋体" w:cs="宋体"/>
          <w:color w:val="auto"/>
        </w:rPr>
        <w:t>八、联合体协议（如有）</w:t>
      </w:r>
      <w:bookmarkEnd w:id="51"/>
    </w:p>
    <w:p>
      <w:pPr>
        <w:widowControl/>
        <w:spacing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若联合体参加投标的，须提交加盖公章的联合体投标协议扫描件。</w:t>
      </w:r>
      <w:r>
        <w:rPr>
          <w:rFonts w:hint="eastAsia" w:ascii="宋体" w:hAnsi="宋体" w:eastAsia="宋体" w:cs="宋体"/>
          <w:color w:val="auto"/>
          <w:sz w:val="24"/>
          <w:szCs w:val="24"/>
        </w:rPr>
        <w:t>联合体协议需明确</w:t>
      </w:r>
      <w:r>
        <w:rPr>
          <w:rFonts w:hint="eastAsia" w:ascii="宋体" w:hAnsi="宋体" w:eastAsia="宋体" w:cs="宋体"/>
          <w:bCs/>
          <w:color w:val="auto"/>
          <w:sz w:val="24"/>
          <w:szCs w:val="24"/>
        </w:rPr>
        <w:t>联合体各成员单位内部的职责分工应详述。</w:t>
      </w:r>
    </w:p>
    <w:p>
      <w:pPr>
        <w:spacing w:line="360" w:lineRule="auto"/>
        <w:ind w:firstLine="2880" w:firstLineChars="1200"/>
        <w:rPr>
          <w:rFonts w:hint="eastAsia" w:ascii="宋体" w:hAnsi="宋体" w:eastAsia="宋体" w:cs="宋体"/>
          <w:color w:val="auto"/>
          <w:sz w:val="24"/>
        </w:rPr>
        <w:sectPr>
          <w:pgSz w:w="11906" w:h="16838"/>
          <w:pgMar w:top="1701" w:right="1701" w:bottom="1418" w:left="1701" w:header="851" w:footer="992" w:gutter="0"/>
          <w:cols w:space="425" w:num="1"/>
          <w:titlePg/>
          <w:docGrid w:type="lines" w:linePitch="312" w:charSpace="0"/>
        </w:sectPr>
      </w:pPr>
    </w:p>
    <w:p>
      <w:pPr>
        <w:pStyle w:val="25"/>
        <w:rPr>
          <w:rFonts w:hint="eastAsia" w:ascii="宋体" w:hAnsi="宋体" w:eastAsia="宋体" w:cs="宋体"/>
          <w:bCs w:val="0"/>
          <w:color w:val="auto"/>
          <w:kern w:val="0"/>
          <w:szCs w:val="44"/>
        </w:rPr>
      </w:pPr>
      <w:bookmarkStart w:id="52" w:name="_Toc129763161"/>
      <w:r>
        <w:rPr>
          <w:rFonts w:hint="eastAsia" w:ascii="宋体" w:hAnsi="宋体" w:eastAsia="宋体" w:cs="宋体"/>
          <w:bCs w:val="0"/>
          <w:color w:val="auto"/>
          <w:kern w:val="0"/>
          <w:szCs w:val="44"/>
        </w:rPr>
        <w:t>第四章评选办法</w:t>
      </w:r>
      <w:bookmarkEnd w:id="52"/>
    </w:p>
    <w:p>
      <w:pPr>
        <w:spacing w:line="360" w:lineRule="auto"/>
        <w:jc w:val="left"/>
        <w:rPr>
          <w:rFonts w:hint="eastAsia" w:ascii="宋体" w:hAnsi="宋体" w:eastAsia="宋体" w:cs="宋体"/>
          <w:b/>
          <w:color w:val="auto"/>
          <w:kern w:val="1"/>
          <w:sz w:val="24"/>
          <w:szCs w:val="24"/>
        </w:rPr>
      </w:pPr>
      <w:r>
        <w:rPr>
          <w:rFonts w:hint="eastAsia" w:ascii="宋体" w:hAnsi="宋体" w:eastAsia="宋体" w:cs="宋体"/>
          <w:b/>
          <w:color w:val="auto"/>
          <w:kern w:val="1"/>
          <w:sz w:val="24"/>
          <w:szCs w:val="24"/>
        </w:rPr>
        <w:t>1、评选办法</w:t>
      </w:r>
    </w:p>
    <w:tbl>
      <w:tblPr>
        <w:tblStyle w:val="28"/>
        <w:tblW w:w="9189"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144"/>
        <w:gridCol w:w="1275"/>
        <w:gridCol w:w="677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 w:hRule="atLeast"/>
          <w:jc w:val="center"/>
        </w:trPr>
        <w:tc>
          <w:tcPr>
            <w:tcW w:w="1144" w:type="dxa"/>
            <w:vMerge w:val="restart"/>
            <w:vAlign w:val="center"/>
          </w:tcPr>
          <w:p>
            <w:pPr>
              <w:jc w:val="center"/>
              <w:rPr>
                <w:rFonts w:hint="eastAsia" w:ascii="宋体" w:hAnsi="宋体" w:eastAsia="宋体" w:cs="宋体"/>
                <w:b/>
                <w:color w:val="auto"/>
                <w:kern w:val="1"/>
                <w:sz w:val="24"/>
                <w:szCs w:val="24"/>
              </w:rPr>
            </w:pPr>
            <w:r>
              <w:rPr>
                <w:rFonts w:hint="eastAsia" w:ascii="宋体" w:hAnsi="宋体" w:eastAsia="宋体" w:cs="宋体"/>
                <w:bCs/>
                <w:color w:val="auto"/>
                <w:kern w:val="1"/>
                <w:sz w:val="24"/>
                <w:szCs w:val="24"/>
              </w:rPr>
              <w:t>条款号</w:t>
            </w:r>
          </w:p>
        </w:tc>
        <w:tc>
          <w:tcPr>
            <w:tcW w:w="1275" w:type="dxa"/>
            <w:vAlign w:val="center"/>
          </w:tcPr>
          <w:p>
            <w:pPr>
              <w:spacing w:line="360" w:lineRule="auto"/>
              <w:ind w:left="210" w:hanging="210"/>
              <w:jc w:val="center"/>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分值构成</w:t>
            </w:r>
          </w:p>
          <w:p>
            <w:pPr>
              <w:spacing w:line="360" w:lineRule="auto"/>
              <w:ind w:left="210" w:hanging="210"/>
              <w:jc w:val="center"/>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(总分100分)</w:t>
            </w:r>
          </w:p>
        </w:tc>
        <w:tc>
          <w:tcPr>
            <w:tcW w:w="6770" w:type="dxa"/>
            <w:vAlign w:val="center"/>
          </w:tcPr>
          <w:p>
            <w:pPr>
              <w:spacing w:line="360" w:lineRule="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价格部分：</w:t>
            </w:r>
            <w:r>
              <w:rPr>
                <w:rFonts w:hint="eastAsia" w:ascii="宋体" w:hAnsi="宋体" w:eastAsia="宋体" w:cs="宋体"/>
                <w:color w:val="auto"/>
                <w:kern w:val="1"/>
                <w:sz w:val="24"/>
                <w:szCs w:val="24"/>
                <w:lang w:val="en-US" w:eastAsia="zh-CN"/>
              </w:rPr>
              <w:t>3</w:t>
            </w:r>
            <w:r>
              <w:rPr>
                <w:rFonts w:hint="eastAsia" w:ascii="宋体" w:hAnsi="宋体" w:eastAsia="宋体" w:cs="宋体"/>
                <w:color w:val="auto"/>
                <w:kern w:val="1"/>
                <w:sz w:val="24"/>
                <w:szCs w:val="24"/>
              </w:rPr>
              <w:t>0分</w:t>
            </w:r>
          </w:p>
          <w:p>
            <w:pPr>
              <w:spacing w:line="360" w:lineRule="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技术部分：</w:t>
            </w:r>
            <w:r>
              <w:rPr>
                <w:rFonts w:hint="eastAsia" w:ascii="宋体" w:hAnsi="宋体" w:eastAsia="宋体" w:cs="宋体"/>
                <w:color w:val="auto"/>
                <w:kern w:val="1"/>
                <w:sz w:val="24"/>
                <w:szCs w:val="24"/>
                <w:lang w:val="en-US" w:eastAsia="zh-CN"/>
              </w:rPr>
              <w:t>49</w:t>
            </w:r>
            <w:r>
              <w:rPr>
                <w:rFonts w:hint="eastAsia" w:ascii="宋体" w:hAnsi="宋体" w:eastAsia="宋体" w:cs="宋体"/>
                <w:color w:val="auto"/>
                <w:kern w:val="1"/>
                <w:sz w:val="24"/>
                <w:szCs w:val="24"/>
              </w:rPr>
              <w:t>分</w:t>
            </w:r>
          </w:p>
          <w:p>
            <w:pPr>
              <w:spacing w:line="360" w:lineRule="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综合部分：</w:t>
            </w:r>
            <w:r>
              <w:rPr>
                <w:rFonts w:hint="eastAsia" w:ascii="宋体" w:hAnsi="宋体" w:eastAsia="宋体" w:cs="宋体"/>
                <w:color w:val="auto"/>
                <w:kern w:val="1"/>
                <w:sz w:val="24"/>
                <w:szCs w:val="24"/>
                <w:lang w:val="en-US" w:eastAsia="zh-CN"/>
              </w:rPr>
              <w:t>21</w:t>
            </w:r>
            <w:r>
              <w:rPr>
                <w:rFonts w:hint="eastAsia" w:ascii="宋体" w:hAnsi="宋体" w:eastAsia="宋体" w:cs="宋体"/>
                <w:color w:val="auto"/>
                <w:kern w:val="1"/>
                <w:sz w:val="24"/>
                <w:szCs w:val="24"/>
              </w:rPr>
              <w:t>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70" w:hRule="atLeast"/>
          <w:jc w:val="center"/>
        </w:trPr>
        <w:tc>
          <w:tcPr>
            <w:tcW w:w="1144" w:type="dxa"/>
            <w:vMerge w:val="continue"/>
            <w:vAlign w:val="center"/>
          </w:tcPr>
          <w:p>
            <w:pPr>
              <w:jc w:val="center"/>
              <w:rPr>
                <w:rFonts w:hint="eastAsia" w:ascii="宋体" w:hAnsi="宋体" w:eastAsia="宋体" w:cs="宋体"/>
                <w:b/>
                <w:color w:val="auto"/>
                <w:kern w:val="1"/>
                <w:sz w:val="24"/>
                <w:szCs w:val="24"/>
              </w:rPr>
            </w:pPr>
          </w:p>
        </w:tc>
        <w:tc>
          <w:tcPr>
            <w:tcW w:w="1275" w:type="dxa"/>
            <w:vAlign w:val="center"/>
          </w:tcPr>
          <w:p>
            <w:pPr>
              <w:jc w:val="center"/>
              <w:rPr>
                <w:rFonts w:hint="eastAsia" w:ascii="宋体" w:hAnsi="宋体" w:eastAsia="宋体" w:cs="宋体"/>
                <w:b/>
                <w:color w:val="auto"/>
                <w:kern w:val="1"/>
                <w:sz w:val="24"/>
                <w:szCs w:val="24"/>
              </w:rPr>
            </w:pPr>
            <w:r>
              <w:rPr>
                <w:rFonts w:hint="eastAsia" w:ascii="宋体" w:hAnsi="宋体" w:eastAsia="宋体" w:cs="宋体"/>
                <w:b/>
                <w:color w:val="auto"/>
                <w:kern w:val="1"/>
                <w:sz w:val="24"/>
                <w:szCs w:val="24"/>
              </w:rPr>
              <w:t>评分因素</w:t>
            </w:r>
          </w:p>
        </w:tc>
        <w:tc>
          <w:tcPr>
            <w:tcW w:w="6770" w:type="dxa"/>
            <w:vAlign w:val="center"/>
          </w:tcPr>
          <w:p>
            <w:pPr>
              <w:jc w:val="center"/>
              <w:rPr>
                <w:rFonts w:hint="eastAsia" w:ascii="宋体" w:hAnsi="宋体" w:eastAsia="宋体" w:cs="宋体"/>
                <w:b/>
                <w:color w:val="auto"/>
                <w:kern w:val="1"/>
                <w:sz w:val="24"/>
                <w:szCs w:val="24"/>
              </w:rPr>
            </w:pPr>
            <w:r>
              <w:rPr>
                <w:rFonts w:hint="eastAsia" w:ascii="宋体" w:hAnsi="宋体" w:eastAsia="宋体" w:cs="宋体"/>
                <w:b/>
                <w:color w:val="auto"/>
                <w:kern w:val="1"/>
                <w:sz w:val="24"/>
                <w:szCs w:val="24"/>
              </w:rPr>
              <w:t>评分标准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73" w:hRule="atLeast"/>
          <w:jc w:val="center"/>
        </w:trPr>
        <w:tc>
          <w:tcPr>
            <w:tcW w:w="1144" w:type="dxa"/>
            <w:vAlign w:val="center"/>
          </w:tcPr>
          <w:p>
            <w:pPr>
              <w:spacing w:line="360" w:lineRule="auto"/>
              <w:jc w:val="center"/>
              <w:rPr>
                <w:rFonts w:hint="eastAsia" w:ascii="宋体" w:hAnsi="宋体" w:eastAsia="宋体" w:cs="宋体"/>
                <w:color w:val="auto"/>
                <w:kern w:val="1"/>
                <w:sz w:val="24"/>
                <w:szCs w:val="24"/>
                <w:lang w:val="zh-CN"/>
              </w:rPr>
            </w:pPr>
            <w:r>
              <w:rPr>
                <w:rFonts w:hint="eastAsia" w:ascii="宋体" w:hAnsi="宋体" w:eastAsia="宋体" w:cs="宋体"/>
                <w:color w:val="auto"/>
                <w:kern w:val="1"/>
                <w:sz w:val="24"/>
                <w:szCs w:val="24"/>
                <w:lang w:val="zh-CN"/>
              </w:rPr>
              <w:t>（</w:t>
            </w:r>
            <w:r>
              <w:rPr>
                <w:rFonts w:hint="eastAsia" w:ascii="宋体" w:hAnsi="宋体" w:eastAsia="宋体" w:cs="宋体"/>
                <w:color w:val="auto"/>
                <w:kern w:val="1"/>
                <w:sz w:val="24"/>
                <w:szCs w:val="24"/>
                <w:lang w:val="en-US" w:eastAsia="zh-CN"/>
              </w:rPr>
              <w:t>1</w:t>
            </w:r>
            <w:r>
              <w:rPr>
                <w:rFonts w:hint="eastAsia" w:ascii="宋体" w:hAnsi="宋体" w:eastAsia="宋体" w:cs="宋体"/>
                <w:color w:val="auto"/>
                <w:kern w:val="1"/>
                <w:sz w:val="24"/>
                <w:szCs w:val="24"/>
                <w:lang w:val="zh-CN"/>
              </w:rPr>
              <w:t>）价格部分(</w:t>
            </w:r>
            <w:r>
              <w:rPr>
                <w:rFonts w:hint="eastAsia" w:ascii="宋体" w:hAnsi="宋体" w:eastAsia="宋体" w:cs="宋体"/>
                <w:color w:val="auto"/>
                <w:kern w:val="1"/>
                <w:sz w:val="24"/>
                <w:szCs w:val="24"/>
                <w:lang w:val="en-US" w:eastAsia="zh-CN"/>
              </w:rPr>
              <w:t>3</w:t>
            </w:r>
            <w:r>
              <w:rPr>
                <w:rFonts w:hint="eastAsia" w:ascii="宋体" w:hAnsi="宋体" w:eastAsia="宋体" w:cs="宋体"/>
                <w:color w:val="auto"/>
                <w:kern w:val="1"/>
                <w:sz w:val="24"/>
                <w:szCs w:val="24"/>
                <w:lang w:val="zh-CN"/>
              </w:rPr>
              <w:t>0分)</w:t>
            </w:r>
          </w:p>
        </w:tc>
        <w:tc>
          <w:tcPr>
            <w:tcW w:w="1275" w:type="dxa"/>
            <w:vAlign w:val="center"/>
          </w:tcPr>
          <w:p>
            <w:pPr>
              <w:spacing w:line="360" w:lineRule="auto"/>
              <w:jc w:val="center"/>
              <w:rPr>
                <w:rFonts w:hint="eastAsia" w:ascii="宋体" w:hAnsi="宋体" w:eastAsia="宋体" w:cs="宋体"/>
                <w:color w:val="auto"/>
                <w:kern w:val="1"/>
                <w:sz w:val="24"/>
                <w:szCs w:val="24"/>
                <w:lang w:val="zh-CN"/>
              </w:rPr>
            </w:pPr>
            <w:r>
              <w:rPr>
                <w:rFonts w:hint="eastAsia" w:ascii="宋体" w:hAnsi="宋体" w:eastAsia="宋体" w:cs="宋体"/>
                <w:color w:val="auto"/>
                <w:kern w:val="1"/>
                <w:sz w:val="24"/>
                <w:szCs w:val="24"/>
                <w:lang w:val="zh-CN"/>
              </w:rPr>
              <w:t>参选人报价</w:t>
            </w:r>
          </w:p>
          <w:p>
            <w:pPr>
              <w:spacing w:line="360" w:lineRule="auto"/>
              <w:jc w:val="center"/>
              <w:rPr>
                <w:rFonts w:hint="eastAsia" w:ascii="宋体" w:hAnsi="宋体" w:eastAsia="宋体" w:cs="宋体"/>
                <w:color w:val="auto"/>
                <w:kern w:val="1"/>
                <w:sz w:val="24"/>
                <w:szCs w:val="24"/>
                <w:lang w:val="zh-CN"/>
              </w:rPr>
            </w:pPr>
            <w:r>
              <w:rPr>
                <w:rFonts w:hint="eastAsia" w:ascii="宋体" w:hAnsi="宋体" w:eastAsia="宋体" w:cs="宋体"/>
                <w:color w:val="auto"/>
                <w:kern w:val="1"/>
                <w:sz w:val="24"/>
                <w:szCs w:val="24"/>
                <w:lang w:val="en-US" w:eastAsia="zh-CN"/>
              </w:rPr>
              <w:t>（3</w:t>
            </w:r>
            <w:r>
              <w:rPr>
                <w:rFonts w:hint="eastAsia" w:ascii="宋体" w:hAnsi="宋体" w:eastAsia="宋体" w:cs="宋体"/>
                <w:color w:val="auto"/>
                <w:kern w:val="1"/>
                <w:sz w:val="24"/>
                <w:szCs w:val="24"/>
                <w:lang w:val="zh-CN"/>
              </w:rPr>
              <w:t>0分</w:t>
            </w:r>
            <w:r>
              <w:rPr>
                <w:rFonts w:hint="eastAsia" w:ascii="宋体" w:hAnsi="宋体" w:eastAsia="宋体" w:cs="宋体"/>
                <w:color w:val="auto"/>
                <w:kern w:val="1"/>
                <w:sz w:val="24"/>
                <w:szCs w:val="24"/>
                <w:lang w:val="en-US" w:eastAsia="zh-CN"/>
              </w:rPr>
              <w:t>）</w:t>
            </w:r>
          </w:p>
        </w:tc>
        <w:tc>
          <w:tcPr>
            <w:tcW w:w="6770" w:type="dxa"/>
            <w:vAlign w:val="center"/>
          </w:tcPr>
          <w:p>
            <w:pPr>
              <w:spacing w:line="360" w:lineRule="auto"/>
              <w:jc w:val="left"/>
              <w:rPr>
                <w:rFonts w:hint="eastAsia" w:ascii="宋体" w:hAnsi="宋体" w:eastAsia="宋体" w:cs="宋体"/>
                <w:color w:val="auto"/>
                <w:kern w:val="1"/>
                <w:sz w:val="24"/>
                <w:szCs w:val="24"/>
                <w:lang w:val="zh-CN"/>
              </w:rPr>
            </w:pPr>
            <w:r>
              <w:rPr>
                <w:rFonts w:hint="eastAsia" w:ascii="宋体" w:hAnsi="宋体" w:eastAsia="宋体" w:cs="宋体"/>
                <w:color w:val="auto"/>
                <w:kern w:val="1"/>
                <w:sz w:val="24"/>
                <w:szCs w:val="24"/>
                <w:lang w:val="zh-CN"/>
              </w:rPr>
              <w:t>1、评标基准价：满足比选文件要求的有效比选报价（年化报价）中，最低的比选报价为评标基准价。</w:t>
            </w:r>
          </w:p>
          <w:p>
            <w:pPr>
              <w:spacing w:line="360" w:lineRule="auto"/>
              <w:jc w:val="left"/>
              <w:rPr>
                <w:rFonts w:hint="eastAsia" w:ascii="宋体" w:hAnsi="宋体" w:eastAsia="宋体" w:cs="宋体"/>
                <w:color w:val="auto"/>
                <w:kern w:val="1"/>
                <w:sz w:val="24"/>
                <w:szCs w:val="24"/>
                <w:lang w:val="en-US" w:eastAsia="zh-CN"/>
              </w:rPr>
            </w:pPr>
            <w:r>
              <w:rPr>
                <w:rFonts w:hint="eastAsia" w:ascii="宋体" w:hAnsi="宋体" w:eastAsia="宋体" w:cs="宋体"/>
                <w:color w:val="auto"/>
                <w:kern w:val="1"/>
                <w:sz w:val="24"/>
                <w:szCs w:val="24"/>
                <w:lang w:val="zh-CN"/>
              </w:rPr>
              <w:t>2、比选报价得分=（评标基准价/比选报价）×</w:t>
            </w:r>
            <w:r>
              <w:rPr>
                <w:rFonts w:hint="eastAsia" w:ascii="宋体" w:hAnsi="宋体" w:eastAsia="宋体" w:cs="宋体"/>
                <w:color w:val="auto"/>
                <w:kern w:val="1"/>
                <w:sz w:val="24"/>
                <w:szCs w:val="24"/>
                <w:lang w:val="en-US" w:eastAsia="zh-CN"/>
              </w:rPr>
              <w:t>30</w:t>
            </w:r>
          </w:p>
          <w:p>
            <w:pPr>
              <w:spacing w:line="360" w:lineRule="auto"/>
              <w:jc w:val="left"/>
              <w:rPr>
                <w:rFonts w:hint="eastAsia" w:ascii="宋体" w:hAnsi="宋体" w:eastAsia="宋体" w:cs="宋体"/>
                <w:color w:val="auto"/>
                <w:lang w:val="zh-CN"/>
              </w:rPr>
            </w:pPr>
            <w:r>
              <w:rPr>
                <w:rFonts w:hint="eastAsia" w:ascii="宋体" w:hAnsi="宋体" w:eastAsia="宋体" w:cs="宋体"/>
                <w:color w:val="auto"/>
                <w:kern w:val="1"/>
                <w:sz w:val="24"/>
                <w:szCs w:val="24"/>
                <w:lang w:val="zh-CN"/>
              </w:rPr>
              <w:t>注：有效比选报价是指通过初步评审，进行详细评审的参选人的比选报价；有效比选报价为</w:t>
            </w:r>
            <w:r>
              <w:rPr>
                <w:rFonts w:hint="eastAsia" w:ascii="宋体" w:hAnsi="宋体" w:eastAsia="宋体" w:cs="宋体"/>
                <w:color w:val="auto"/>
                <w:kern w:val="1"/>
                <w:sz w:val="24"/>
                <w:szCs w:val="24"/>
              </w:rPr>
              <w:t>≤0.</w:t>
            </w:r>
            <w:r>
              <w:rPr>
                <w:rFonts w:hint="eastAsia" w:ascii="宋体" w:hAnsi="宋体" w:eastAsia="宋体" w:cs="宋体"/>
                <w:color w:val="auto"/>
                <w:kern w:val="1"/>
                <w:sz w:val="24"/>
                <w:szCs w:val="24"/>
                <w:lang w:val="en-US" w:eastAsia="zh-CN"/>
              </w:rPr>
              <w:t>1</w:t>
            </w:r>
            <w:r>
              <w:rPr>
                <w:rFonts w:hint="eastAsia" w:ascii="宋体" w:hAnsi="宋体" w:eastAsia="宋体" w:cs="宋体"/>
                <w:color w:val="auto"/>
                <w:kern w:val="1"/>
                <w:sz w:val="24"/>
                <w:szCs w:val="24"/>
              </w:rPr>
              <w:t>%</w:t>
            </w:r>
            <w:r>
              <w:rPr>
                <w:rFonts w:hint="eastAsia" w:ascii="宋体" w:hAnsi="宋体" w:eastAsia="宋体" w:cs="宋体"/>
                <w:color w:val="auto"/>
                <w:kern w:val="1"/>
                <w:sz w:val="24"/>
                <w:szCs w:val="24"/>
                <w:lang w:val="en-US" w:eastAsia="zh-CN"/>
              </w:rPr>
              <w:t>/年</w:t>
            </w:r>
            <w:r>
              <w:rPr>
                <w:rFonts w:hint="eastAsia" w:ascii="宋体" w:hAnsi="宋体" w:eastAsia="宋体" w:cs="宋体"/>
                <w:color w:val="auto"/>
                <w:kern w:val="1"/>
                <w:sz w:val="24"/>
                <w:szCs w:val="24"/>
                <w:lang w:val="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2" w:hRule="atLeast"/>
          <w:jc w:val="center"/>
        </w:trPr>
        <w:tc>
          <w:tcPr>
            <w:tcW w:w="1144" w:type="dxa"/>
            <w:vMerge w:val="restart"/>
            <w:vAlign w:val="center"/>
          </w:tcPr>
          <w:p>
            <w:pPr>
              <w:spacing w:line="360" w:lineRule="auto"/>
              <w:jc w:val="center"/>
              <w:rPr>
                <w:rFonts w:hint="eastAsia" w:ascii="宋体" w:hAnsi="宋体" w:eastAsia="宋体" w:cs="宋体"/>
                <w:color w:val="auto"/>
                <w:kern w:val="1"/>
                <w:sz w:val="24"/>
                <w:szCs w:val="24"/>
              </w:rPr>
            </w:pPr>
            <w:r>
              <w:rPr>
                <w:rFonts w:hint="eastAsia" w:ascii="宋体" w:hAnsi="宋体" w:eastAsia="宋体" w:cs="宋体"/>
                <w:color w:val="auto"/>
                <w:kern w:val="1"/>
                <w:sz w:val="24"/>
                <w:szCs w:val="24"/>
                <w:lang w:eastAsia="zh-CN"/>
              </w:rPr>
              <w:t>（</w:t>
            </w:r>
            <w:r>
              <w:rPr>
                <w:rFonts w:hint="eastAsia" w:ascii="宋体" w:hAnsi="宋体" w:eastAsia="宋体" w:cs="宋体"/>
                <w:color w:val="auto"/>
                <w:kern w:val="1"/>
                <w:sz w:val="24"/>
                <w:szCs w:val="24"/>
              </w:rPr>
              <w:t>2</w:t>
            </w:r>
            <w:r>
              <w:rPr>
                <w:rFonts w:hint="eastAsia" w:ascii="宋体" w:hAnsi="宋体" w:eastAsia="宋体" w:cs="宋体"/>
                <w:color w:val="auto"/>
                <w:kern w:val="1"/>
                <w:sz w:val="24"/>
                <w:szCs w:val="24"/>
                <w:lang w:eastAsia="zh-CN"/>
              </w:rPr>
              <w:t>）</w:t>
            </w:r>
            <w:r>
              <w:rPr>
                <w:rFonts w:hint="eastAsia" w:ascii="宋体" w:hAnsi="宋体" w:eastAsia="宋体" w:cs="宋体"/>
                <w:color w:val="auto"/>
                <w:kern w:val="1"/>
                <w:sz w:val="24"/>
                <w:szCs w:val="24"/>
              </w:rPr>
              <w:t>技术部分</w:t>
            </w:r>
          </w:p>
          <w:p>
            <w:pPr>
              <w:spacing w:line="360" w:lineRule="auto"/>
              <w:jc w:val="center"/>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w:t>
            </w:r>
            <w:r>
              <w:rPr>
                <w:rFonts w:hint="eastAsia" w:ascii="宋体" w:hAnsi="宋体" w:eastAsia="宋体" w:cs="宋体"/>
                <w:color w:val="auto"/>
                <w:kern w:val="1"/>
                <w:sz w:val="24"/>
                <w:szCs w:val="24"/>
                <w:lang w:val="en-US" w:eastAsia="zh-CN"/>
              </w:rPr>
              <w:t>49</w:t>
            </w:r>
            <w:r>
              <w:rPr>
                <w:rFonts w:hint="eastAsia" w:ascii="宋体" w:hAnsi="宋体" w:eastAsia="宋体" w:cs="宋体"/>
                <w:color w:val="auto"/>
                <w:kern w:val="1"/>
                <w:sz w:val="24"/>
                <w:szCs w:val="24"/>
              </w:rPr>
              <w:t>分)</w:t>
            </w:r>
          </w:p>
        </w:tc>
        <w:tc>
          <w:tcPr>
            <w:tcW w:w="1275" w:type="dxa"/>
            <w:vAlign w:val="center"/>
          </w:tcPr>
          <w:p>
            <w:pPr>
              <w:spacing w:line="360" w:lineRule="auto"/>
              <w:jc w:val="center"/>
              <w:rPr>
                <w:rFonts w:hint="eastAsia" w:ascii="宋体" w:hAnsi="宋体" w:eastAsia="宋体" w:cs="宋体"/>
                <w:color w:val="auto"/>
                <w:kern w:val="1"/>
                <w:sz w:val="24"/>
                <w:szCs w:val="24"/>
                <w:lang w:val="zh-CN"/>
              </w:rPr>
            </w:pPr>
            <w:r>
              <w:rPr>
                <w:rFonts w:hint="eastAsia" w:ascii="宋体" w:hAnsi="宋体" w:eastAsia="宋体" w:cs="宋体"/>
                <w:color w:val="auto"/>
                <w:kern w:val="1"/>
                <w:sz w:val="24"/>
                <w:szCs w:val="24"/>
                <w:lang w:val="zh-CN"/>
              </w:rPr>
              <w:t>发行方案（</w:t>
            </w:r>
            <w:r>
              <w:rPr>
                <w:rFonts w:hint="eastAsia" w:ascii="宋体" w:hAnsi="宋体" w:eastAsia="宋体" w:cs="宋体"/>
                <w:color w:val="auto"/>
                <w:kern w:val="1"/>
                <w:sz w:val="24"/>
                <w:szCs w:val="24"/>
                <w:lang w:val="en-US" w:eastAsia="zh-CN"/>
              </w:rPr>
              <w:t>23</w:t>
            </w:r>
            <w:r>
              <w:rPr>
                <w:rFonts w:hint="eastAsia" w:ascii="宋体" w:hAnsi="宋体" w:eastAsia="宋体" w:cs="宋体"/>
                <w:color w:val="auto"/>
                <w:kern w:val="1"/>
                <w:sz w:val="24"/>
                <w:szCs w:val="24"/>
                <w:lang w:val="zh-CN"/>
              </w:rPr>
              <w:t>分）</w:t>
            </w:r>
          </w:p>
        </w:tc>
        <w:tc>
          <w:tcPr>
            <w:tcW w:w="6770" w:type="dxa"/>
            <w:vAlign w:val="center"/>
          </w:tcPr>
          <w:p>
            <w:pPr>
              <w:spacing w:line="360" w:lineRule="auto"/>
              <w:jc w:val="left"/>
              <w:rPr>
                <w:rFonts w:hint="eastAsia" w:ascii="宋体" w:hAnsi="宋体" w:eastAsia="宋体" w:cs="宋体"/>
                <w:color w:val="auto"/>
                <w:kern w:val="1"/>
                <w:sz w:val="24"/>
                <w:szCs w:val="24"/>
                <w:lang w:val="zh-CN"/>
              </w:rPr>
            </w:pPr>
            <w:r>
              <w:rPr>
                <w:rFonts w:hint="eastAsia" w:ascii="宋体" w:hAnsi="宋体" w:eastAsia="宋体" w:cs="宋体"/>
                <w:color w:val="auto"/>
                <w:kern w:val="1"/>
                <w:sz w:val="24"/>
                <w:szCs w:val="24"/>
                <w:lang w:val="zh-CN"/>
              </w:rPr>
              <w:t>比选小组根据参选人设计发行方案的详尽程度及可行性进行综合评分：</w:t>
            </w:r>
          </w:p>
          <w:p>
            <w:pPr>
              <w:spacing w:line="360" w:lineRule="auto"/>
              <w:jc w:val="left"/>
              <w:rPr>
                <w:rFonts w:hint="eastAsia" w:ascii="宋体" w:hAnsi="宋体" w:eastAsia="宋体" w:cs="宋体"/>
                <w:color w:val="auto"/>
                <w:kern w:val="1"/>
                <w:sz w:val="24"/>
                <w:szCs w:val="24"/>
                <w:lang w:val="zh-CN"/>
              </w:rPr>
            </w:pPr>
            <w:r>
              <w:rPr>
                <w:rFonts w:hint="eastAsia" w:ascii="宋体" w:hAnsi="宋体" w:eastAsia="宋体" w:cs="宋体"/>
                <w:color w:val="auto"/>
                <w:kern w:val="1"/>
                <w:sz w:val="24"/>
                <w:szCs w:val="24"/>
                <w:lang w:val="zh-CN"/>
              </w:rPr>
              <w:t>1.总体设计（5分）：4分＜一档≤5分；3分＜二档≤4分；1分＜三档≤3分；未提供不得分。</w:t>
            </w:r>
          </w:p>
          <w:p>
            <w:pPr>
              <w:spacing w:line="360" w:lineRule="auto"/>
              <w:jc w:val="left"/>
              <w:rPr>
                <w:rFonts w:hint="eastAsia" w:ascii="宋体" w:hAnsi="宋体" w:eastAsia="宋体" w:cs="宋体"/>
                <w:color w:val="auto"/>
                <w:kern w:val="1"/>
                <w:sz w:val="24"/>
                <w:szCs w:val="24"/>
                <w:lang w:val="zh-CN"/>
              </w:rPr>
            </w:pPr>
            <w:r>
              <w:rPr>
                <w:rFonts w:hint="eastAsia" w:ascii="宋体" w:hAnsi="宋体" w:eastAsia="宋体" w:cs="宋体"/>
                <w:color w:val="auto"/>
                <w:kern w:val="1"/>
                <w:sz w:val="24"/>
                <w:szCs w:val="24"/>
                <w:lang w:val="zh-CN"/>
              </w:rPr>
              <w:t>2.申报时间安排（5分）：4分＜一档≤5分；3分＜二档≤4分；1分＜三档≤3分；未提供不得分。</w:t>
            </w:r>
          </w:p>
          <w:p>
            <w:pPr>
              <w:spacing w:line="360" w:lineRule="auto"/>
              <w:jc w:val="left"/>
              <w:rPr>
                <w:rFonts w:hint="eastAsia" w:ascii="宋体" w:hAnsi="宋体" w:eastAsia="宋体" w:cs="宋体"/>
                <w:color w:val="auto"/>
                <w:kern w:val="1"/>
                <w:sz w:val="24"/>
                <w:szCs w:val="24"/>
                <w:lang w:val="zh-CN"/>
              </w:rPr>
            </w:pPr>
            <w:r>
              <w:rPr>
                <w:rFonts w:hint="eastAsia" w:ascii="宋体" w:hAnsi="宋体" w:eastAsia="宋体" w:cs="宋体"/>
                <w:color w:val="auto"/>
                <w:kern w:val="1"/>
                <w:sz w:val="24"/>
                <w:szCs w:val="24"/>
                <w:lang w:val="zh-CN"/>
              </w:rPr>
              <w:t>3.进度保障（5分）：4分＜一档≤5分；3分＜二档≤4分；1分＜三档≤3分；未提供不得分。</w:t>
            </w:r>
          </w:p>
          <w:p>
            <w:pPr>
              <w:spacing w:line="360" w:lineRule="auto"/>
              <w:jc w:val="left"/>
              <w:rPr>
                <w:rFonts w:hint="eastAsia" w:ascii="宋体" w:hAnsi="宋体" w:eastAsia="宋体" w:cs="宋体"/>
                <w:color w:val="auto"/>
                <w:kern w:val="1"/>
                <w:sz w:val="24"/>
                <w:szCs w:val="24"/>
                <w:lang w:val="zh-CN"/>
              </w:rPr>
            </w:pPr>
            <w:r>
              <w:rPr>
                <w:rFonts w:hint="eastAsia" w:ascii="宋体" w:hAnsi="宋体" w:eastAsia="宋体" w:cs="宋体"/>
                <w:color w:val="auto"/>
                <w:kern w:val="1"/>
                <w:sz w:val="24"/>
                <w:szCs w:val="24"/>
                <w:lang w:val="zh-CN"/>
              </w:rPr>
              <w:t>4.降低发行利率措施（5分）： 4分＜一档≤5分；3分＜二档≤4分；1分＜三档≤3分；未提供不得分。</w:t>
            </w:r>
          </w:p>
          <w:p>
            <w:pPr>
              <w:spacing w:line="360" w:lineRule="auto"/>
              <w:jc w:val="left"/>
              <w:rPr>
                <w:rFonts w:hint="eastAsia" w:ascii="宋体" w:hAnsi="宋体" w:eastAsia="宋体" w:cs="宋体"/>
                <w:color w:val="auto"/>
                <w:kern w:val="1"/>
                <w:sz w:val="24"/>
                <w:szCs w:val="24"/>
                <w:lang w:val="zh-CN"/>
              </w:rPr>
            </w:pPr>
            <w:r>
              <w:rPr>
                <w:rFonts w:hint="eastAsia" w:ascii="宋体" w:hAnsi="宋体" w:eastAsia="宋体" w:cs="宋体"/>
                <w:color w:val="auto"/>
                <w:kern w:val="1"/>
                <w:sz w:val="24"/>
                <w:szCs w:val="24"/>
                <w:lang w:val="zh-CN"/>
              </w:rPr>
              <w:t>5.承销商的优势其他建议（</w:t>
            </w:r>
            <w:r>
              <w:rPr>
                <w:rFonts w:hint="eastAsia" w:ascii="宋体" w:hAnsi="宋体" w:eastAsia="宋体" w:cs="宋体"/>
                <w:color w:val="auto"/>
                <w:kern w:val="1"/>
                <w:sz w:val="24"/>
                <w:szCs w:val="24"/>
                <w:lang w:val="en-US" w:eastAsia="zh-CN"/>
              </w:rPr>
              <w:t>3</w:t>
            </w:r>
            <w:r>
              <w:rPr>
                <w:rFonts w:hint="eastAsia" w:ascii="宋体" w:hAnsi="宋体" w:eastAsia="宋体" w:cs="宋体"/>
                <w:color w:val="auto"/>
                <w:kern w:val="1"/>
                <w:sz w:val="24"/>
                <w:szCs w:val="24"/>
                <w:lang w:val="zh-CN"/>
              </w:rPr>
              <w:t>分）：2分＜一档≤3分；0.5分＜二档≤2分；未提供不得分。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5" w:hRule="atLeast"/>
          <w:jc w:val="center"/>
        </w:trPr>
        <w:tc>
          <w:tcPr>
            <w:tcW w:w="1144" w:type="dxa"/>
            <w:vMerge w:val="continue"/>
            <w:vAlign w:val="center"/>
          </w:tcPr>
          <w:p>
            <w:pPr>
              <w:spacing w:line="360" w:lineRule="auto"/>
              <w:jc w:val="center"/>
              <w:rPr>
                <w:rFonts w:hint="eastAsia" w:ascii="宋体" w:hAnsi="宋体" w:eastAsia="宋体" w:cs="宋体"/>
                <w:color w:val="auto"/>
                <w:kern w:val="1"/>
                <w:sz w:val="24"/>
                <w:szCs w:val="24"/>
              </w:rPr>
            </w:pPr>
          </w:p>
        </w:tc>
        <w:tc>
          <w:tcPr>
            <w:tcW w:w="1275" w:type="dxa"/>
            <w:vAlign w:val="center"/>
          </w:tcPr>
          <w:p>
            <w:pPr>
              <w:spacing w:line="360" w:lineRule="auto"/>
              <w:jc w:val="center"/>
              <w:rPr>
                <w:rFonts w:hint="eastAsia" w:ascii="宋体" w:hAnsi="宋体" w:eastAsia="宋体" w:cs="宋体"/>
                <w:color w:val="auto"/>
              </w:rPr>
            </w:pPr>
            <w:r>
              <w:rPr>
                <w:rFonts w:hint="eastAsia" w:ascii="宋体" w:hAnsi="宋体" w:eastAsia="宋体" w:cs="宋体"/>
                <w:color w:val="auto"/>
                <w:kern w:val="1"/>
                <w:sz w:val="24"/>
                <w:szCs w:val="24"/>
                <w:lang w:val="zh-CN"/>
              </w:rPr>
              <w:t>人员配备情况（1</w:t>
            </w:r>
            <w:r>
              <w:rPr>
                <w:rFonts w:hint="eastAsia" w:ascii="宋体" w:hAnsi="宋体" w:eastAsia="宋体" w:cs="宋体"/>
                <w:color w:val="auto"/>
                <w:kern w:val="1"/>
                <w:sz w:val="24"/>
                <w:szCs w:val="24"/>
                <w:lang w:val="en-US" w:eastAsia="zh-CN"/>
              </w:rPr>
              <w:t>1</w:t>
            </w:r>
            <w:r>
              <w:rPr>
                <w:rFonts w:hint="eastAsia" w:ascii="宋体" w:hAnsi="宋体" w:eastAsia="宋体" w:cs="宋体"/>
                <w:color w:val="auto"/>
                <w:kern w:val="1"/>
                <w:sz w:val="24"/>
                <w:szCs w:val="24"/>
                <w:lang w:val="zh-CN"/>
              </w:rPr>
              <w:t>分）</w:t>
            </w:r>
          </w:p>
        </w:tc>
        <w:tc>
          <w:tcPr>
            <w:tcW w:w="6770" w:type="dxa"/>
            <w:vAlign w:val="center"/>
          </w:tcPr>
          <w:p>
            <w:pPr>
              <w:spacing w:line="360" w:lineRule="auto"/>
              <w:jc w:val="left"/>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1、本项目负责人资历及经验介绍，</w:t>
            </w:r>
            <w:r>
              <w:rPr>
                <w:rFonts w:hint="eastAsia" w:ascii="宋体" w:hAnsi="宋体" w:eastAsia="宋体" w:cs="宋体"/>
                <w:color w:val="auto"/>
                <w:kern w:val="1"/>
                <w:sz w:val="24"/>
                <w:szCs w:val="24"/>
                <w:lang w:eastAsia="zh-CN"/>
              </w:rPr>
              <w:t>比选小组</w:t>
            </w:r>
            <w:r>
              <w:rPr>
                <w:rFonts w:hint="eastAsia" w:ascii="宋体" w:hAnsi="宋体" w:eastAsia="宋体" w:cs="宋体"/>
                <w:color w:val="auto"/>
                <w:kern w:val="1"/>
                <w:sz w:val="24"/>
                <w:szCs w:val="24"/>
              </w:rPr>
              <w:t>依据</w:t>
            </w:r>
            <w:r>
              <w:rPr>
                <w:rFonts w:hint="eastAsia" w:ascii="宋体" w:hAnsi="宋体" w:eastAsia="宋体" w:cs="宋体"/>
                <w:color w:val="auto"/>
                <w:kern w:val="1"/>
                <w:sz w:val="24"/>
                <w:szCs w:val="24"/>
                <w:lang w:eastAsia="zh-CN"/>
              </w:rPr>
              <w:t>参选人</w:t>
            </w:r>
            <w:r>
              <w:rPr>
                <w:rFonts w:hint="eastAsia" w:ascii="宋体" w:hAnsi="宋体" w:eastAsia="宋体" w:cs="宋体"/>
                <w:color w:val="auto"/>
                <w:kern w:val="1"/>
                <w:sz w:val="24"/>
                <w:szCs w:val="24"/>
              </w:rPr>
              <w:t>提供的证明材料进行对比（5分）：4分＜一档≤5分；3分＜二档≤4分；1分＜三档≤3分；未提供不得分。</w:t>
            </w:r>
          </w:p>
          <w:p>
            <w:pPr>
              <w:spacing w:line="360" w:lineRule="auto"/>
              <w:jc w:val="left"/>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2、根据</w:t>
            </w:r>
            <w:r>
              <w:rPr>
                <w:rFonts w:hint="eastAsia" w:ascii="宋体" w:hAnsi="宋体" w:eastAsia="宋体" w:cs="宋体"/>
                <w:color w:val="auto"/>
                <w:kern w:val="1"/>
                <w:sz w:val="24"/>
                <w:szCs w:val="24"/>
                <w:lang w:eastAsia="zh-CN"/>
              </w:rPr>
              <w:t>参选人</w:t>
            </w:r>
            <w:r>
              <w:rPr>
                <w:rFonts w:hint="eastAsia" w:ascii="宋体" w:hAnsi="宋体" w:eastAsia="宋体" w:cs="宋体"/>
                <w:color w:val="auto"/>
                <w:kern w:val="1"/>
                <w:sz w:val="24"/>
                <w:szCs w:val="24"/>
              </w:rPr>
              <w:t>拟派的团队人员资质证书持有情况、发行经验、专业化素质等因素进行打分：团队成员资质较优，债券发行经验较为丰富，专业化素质较强的，4.5分＜一档≤6分；团队成员资质一般，债券发行经验一般，专业化素质能基本满足项目需求的，2.5分＜二档≤4.5分；发行团队构成与资质等情况较差，或不能满足项目基本需要的，0分＜三档≤2.5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39" w:hRule="atLeast"/>
          <w:jc w:val="center"/>
        </w:trPr>
        <w:tc>
          <w:tcPr>
            <w:tcW w:w="1144" w:type="dxa"/>
            <w:vMerge w:val="continue"/>
            <w:vAlign w:val="center"/>
          </w:tcPr>
          <w:p>
            <w:pPr>
              <w:spacing w:line="360" w:lineRule="auto"/>
              <w:jc w:val="center"/>
              <w:rPr>
                <w:rFonts w:hint="eastAsia" w:ascii="宋体" w:hAnsi="宋体" w:eastAsia="宋体" w:cs="宋体"/>
                <w:color w:val="auto"/>
                <w:kern w:val="1"/>
                <w:sz w:val="24"/>
                <w:szCs w:val="24"/>
              </w:rPr>
            </w:pPr>
          </w:p>
        </w:tc>
        <w:tc>
          <w:tcPr>
            <w:tcW w:w="1275" w:type="dxa"/>
            <w:vAlign w:val="center"/>
          </w:tcPr>
          <w:p>
            <w:pPr>
              <w:spacing w:line="360" w:lineRule="auto"/>
              <w:jc w:val="center"/>
              <w:rPr>
                <w:rFonts w:hint="eastAsia" w:ascii="宋体" w:hAnsi="宋体" w:eastAsia="宋体" w:cs="宋体"/>
                <w:color w:val="auto"/>
                <w:kern w:val="1"/>
                <w:sz w:val="24"/>
                <w:szCs w:val="24"/>
                <w:lang w:val="zh-CN"/>
              </w:rPr>
            </w:pPr>
            <w:r>
              <w:rPr>
                <w:rFonts w:hint="eastAsia" w:ascii="宋体" w:hAnsi="宋体" w:eastAsia="宋体" w:cs="宋体"/>
                <w:color w:val="auto"/>
                <w:kern w:val="1"/>
                <w:sz w:val="24"/>
                <w:szCs w:val="24"/>
              </w:rPr>
              <w:t>业务支持服务（1</w:t>
            </w:r>
            <w:r>
              <w:rPr>
                <w:rFonts w:hint="eastAsia" w:ascii="宋体" w:hAnsi="宋体" w:eastAsia="宋体" w:cs="宋体"/>
                <w:color w:val="auto"/>
                <w:kern w:val="1"/>
                <w:sz w:val="24"/>
                <w:szCs w:val="24"/>
                <w:lang w:val="en-US" w:eastAsia="zh-CN"/>
              </w:rPr>
              <w:t>5</w:t>
            </w:r>
            <w:r>
              <w:rPr>
                <w:rFonts w:hint="eastAsia" w:ascii="宋体" w:hAnsi="宋体" w:eastAsia="宋体" w:cs="宋体"/>
                <w:color w:val="auto"/>
                <w:kern w:val="1"/>
                <w:sz w:val="24"/>
                <w:szCs w:val="24"/>
              </w:rPr>
              <w:t>分）</w:t>
            </w:r>
          </w:p>
        </w:tc>
        <w:tc>
          <w:tcPr>
            <w:tcW w:w="6770" w:type="dxa"/>
            <w:vAlign w:val="center"/>
          </w:tcPr>
          <w:p>
            <w:pPr>
              <w:spacing w:line="360" w:lineRule="auto"/>
              <w:jc w:val="left"/>
              <w:rPr>
                <w:rFonts w:hint="eastAsia" w:ascii="宋体" w:hAnsi="宋体" w:eastAsia="宋体" w:cs="宋体"/>
                <w:color w:val="auto"/>
                <w:kern w:val="1"/>
                <w:sz w:val="24"/>
                <w:szCs w:val="24"/>
                <w:lang w:val="zh-CN"/>
              </w:rPr>
            </w:pPr>
            <w:r>
              <w:rPr>
                <w:rFonts w:hint="eastAsia" w:ascii="宋体" w:hAnsi="宋体" w:eastAsia="宋体" w:cs="宋体"/>
                <w:color w:val="auto"/>
                <w:kern w:val="1"/>
                <w:sz w:val="24"/>
                <w:szCs w:val="24"/>
                <w:lang w:val="zh-CN"/>
              </w:rPr>
              <w:t>比选小组根据参选人业务支持服务进行综合评分：</w:t>
            </w:r>
          </w:p>
          <w:p>
            <w:pPr>
              <w:spacing w:line="360" w:lineRule="auto"/>
              <w:jc w:val="left"/>
              <w:rPr>
                <w:rFonts w:hint="eastAsia" w:ascii="宋体" w:hAnsi="宋体" w:eastAsia="宋体" w:cs="宋体"/>
                <w:color w:val="auto"/>
                <w:kern w:val="1"/>
                <w:sz w:val="24"/>
                <w:szCs w:val="24"/>
                <w:lang w:val="zh-CN"/>
              </w:rPr>
            </w:pPr>
            <w:r>
              <w:rPr>
                <w:rFonts w:hint="eastAsia" w:ascii="宋体" w:hAnsi="宋体" w:eastAsia="宋体" w:cs="宋体"/>
                <w:color w:val="auto"/>
                <w:kern w:val="1"/>
                <w:sz w:val="24"/>
                <w:szCs w:val="24"/>
                <w:lang w:val="zh-CN"/>
              </w:rPr>
              <w:t>1.业务支持的优惠程度、可行性（5分）：4分＜一档≤5分；3分＜二档≤4分；1分＜三档≤3分；未提供不得分。</w:t>
            </w:r>
          </w:p>
          <w:p>
            <w:pPr>
              <w:spacing w:line="360" w:lineRule="auto"/>
              <w:jc w:val="left"/>
              <w:rPr>
                <w:rFonts w:hint="eastAsia" w:ascii="宋体" w:hAnsi="宋体" w:eastAsia="宋体" w:cs="宋体"/>
                <w:color w:val="auto"/>
                <w:kern w:val="1"/>
                <w:sz w:val="24"/>
                <w:szCs w:val="24"/>
                <w:lang w:val="zh-CN"/>
              </w:rPr>
            </w:pPr>
            <w:r>
              <w:rPr>
                <w:rFonts w:hint="eastAsia" w:ascii="宋体" w:hAnsi="宋体" w:eastAsia="宋体" w:cs="宋体"/>
                <w:color w:val="auto"/>
                <w:kern w:val="1"/>
                <w:sz w:val="24"/>
                <w:szCs w:val="24"/>
                <w:lang w:val="zh-CN"/>
              </w:rPr>
              <w:t>2.与本公司的实际需求契合度（5分）：4分＜一档≤5分；3分＜二档≤4分；1分＜三档≤3分；未提供不得分。</w:t>
            </w:r>
          </w:p>
          <w:p>
            <w:pPr>
              <w:spacing w:line="360" w:lineRule="auto"/>
              <w:jc w:val="left"/>
              <w:rPr>
                <w:rFonts w:hint="eastAsia" w:ascii="宋体" w:hAnsi="宋体" w:eastAsia="宋体" w:cs="宋体"/>
                <w:color w:val="auto"/>
                <w:kern w:val="1"/>
                <w:sz w:val="24"/>
                <w:szCs w:val="24"/>
                <w:lang w:val="zh-CN"/>
              </w:rPr>
            </w:pPr>
            <w:r>
              <w:rPr>
                <w:rFonts w:hint="eastAsia" w:ascii="宋体" w:hAnsi="宋体" w:eastAsia="宋体" w:cs="宋体"/>
                <w:color w:val="auto"/>
                <w:kern w:val="1"/>
                <w:sz w:val="24"/>
                <w:szCs w:val="24"/>
                <w:lang w:val="zh-CN"/>
              </w:rPr>
              <w:t>3.募集资金账户协定存款利率（3分）：2.5分＜一档≤3分；1.5分＜二档≤2.5分；0.5分＜三档≤1.5分；未提供不得分。</w:t>
            </w:r>
          </w:p>
          <w:p>
            <w:pPr>
              <w:spacing w:line="360" w:lineRule="auto"/>
              <w:jc w:val="left"/>
              <w:rPr>
                <w:rFonts w:hint="eastAsia" w:ascii="宋体" w:hAnsi="宋体" w:eastAsia="宋体" w:cs="宋体"/>
                <w:color w:val="auto"/>
                <w:kern w:val="1"/>
                <w:sz w:val="24"/>
                <w:szCs w:val="24"/>
                <w:lang w:val="zh-CN"/>
              </w:rPr>
            </w:pPr>
            <w:r>
              <w:rPr>
                <w:rFonts w:hint="eastAsia" w:ascii="宋体" w:hAnsi="宋体" w:eastAsia="宋体" w:cs="宋体"/>
                <w:color w:val="auto"/>
                <w:kern w:val="1"/>
                <w:sz w:val="24"/>
                <w:szCs w:val="24"/>
                <w:lang w:val="zh-CN"/>
              </w:rPr>
              <w:t>4.其他（2分）：1分＜一档≤2分；0分＜二档≤1分。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144" w:type="dxa"/>
            <w:vMerge w:val="restart"/>
            <w:vAlign w:val="center"/>
          </w:tcPr>
          <w:p>
            <w:pPr>
              <w:spacing w:line="360" w:lineRule="auto"/>
              <w:jc w:val="center"/>
              <w:rPr>
                <w:rFonts w:hint="eastAsia" w:ascii="宋体" w:hAnsi="宋体" w:eastAsia="宋体" w:cs="宋体"/>
                <w:color w:val="auto"/>
                <w:kern w:val="1"/>
                <w:sz w:val="24"/>
                <w:szCs w:val="24"/>
              </w:rPr>
            </w:pPr>
            <w:r>
              <w:rPr>
                <w:rFonts w:hint="eastAsia" w:ascii="宋体" w:hAnsi="宋体" w:eastAsia="宋体" w:cs="宋体"/>
                <w:color w:val="auto"/>
                <w:kern w:val="1"/>
                <w:sz w:val="24"/>
                <w:szCs w:val="24"/>
                <w:lang w:eastAsia="zh-CN"/>
              </w:rPr>
              <w:t>（</w:t>
            </w:r>
            <w:r>
              <w:rPr>
                <w:rFonts w:hint="eastAsia" w:ascii="宋体" w:hAnsi="宋体" w:eastAsia="宋体" w:cs="宋体"/>
                <w:color w:val="auto"/>
                <w:kern w:val="1"/>
                <w:sz w:val="24"/>
                <w:szCs w:val="24"/>
              </w:rPr>
              <w:t>3</w:t>
            </w:r>
            <w:r>
              <w:rPr>
                <w:rFonts w:hint="eastAsia" w:ascii="宋体" w:hAnsi="宋体" w:eastAsia="宋体" w:cs="宋体"/>
                <w:color w:val="auto"/>
                <w:kern w:val="1"/>
                <w:sz w:val="24"/>
                <w:szCs w:val="24"/>
                <w:lang w:eastAsia="zh-CN"/>
              </w:rPr>
              <w:t>）</w:t>
            </w:r>
            <w:r>
              <w:rPr>
                <w:rFonts w:hint="eastAsia" w:ascii="宋体" w:hAnsi="宋体" w:eastAsia="宋体" w:cs="宋体"/>
                <w:color w:val="auto"/>
                <w:kern w:val="1"/>
                <w:sz w:val="24"/>
                <w:szCs w:val="24"/>
              </w:rPr>
              <w:t>综合部分</w:t>
            </w:r>
          </w:p>
          <w:p>
            <w:pPr>
              <w:spacing w:line="360" w:lineRule="auto"/>
              <w:jc w:val="center"/>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w:t>
            </w:r>
            <w:r>
              <w:rPr>
                <w:rFonts w:hint="eastAsia" w:ascii="宋体" w:hAnsi="宋体" w:eastAsia="宋体" w:cs="宋体"/>
                <w:color w:val="auto"/>
                <w:kern w:val="1"/>
                <w:sz w:val="24"/>
                <w:szCs w:val="24"/>
                <w:lang w:val="en-US" w:eastAsia="zh-CN"/>
              </w:rPr>
              <w:t>21</w:t>
            </w:r>
            <w:r>
              <w:rPr>
                <w:rFonts w:hint="eastAsia" w:ascii="宋体" w:hAnsi="宋体" w:eastAsia="宋体" w:cs="宋体"/>
                <w:color w:val="auto"/>
                <w:kern w:val="1"/>
                <w:sz w:val="24"/>
                <w:szCs w:val="24"/>
              </w:rPr>
              <w:t>分)</w:t>
            </w:r>
          </w:p>
        </w:tc>
        <w:tc>
          <w:tcPr>
            <w:tcW w:w="1275" w:type="dxa"/>
            <w:vAlign w:val="center"/>
          </w:tcPr>
          <w:p>
            <w:pPr>
              <w:spacing w:line="360" w:lineRule="auto"/>
              <w:jc w:val="center"/>
              <w:rPr>
                <w:rFonts w:hint="eastAsia" w:ascii="宋体" w:hAnsi="宋体" w:eastAsia="宋体" w:cs="宋体"/>
                <w:color w:val="auto"/>
                <w:kern w:val="1"/>
                <w:sz w:val="24"/>
                <w:szCs w:val="24"/>
                <w:lang w:val="zh-CN"/>
              </w:rPr>
            </w:pPr>
            <w:r>
              <w:rPr>
                <w:rFonts w:hint="eastAsia" w:ascii="宋体" w:hAnsi="宋体" w:eastAsia="宋体" w:cs="宋体"/>
                <w:color w:val="auto"/>
                <w:kern w:val="1"/>
                <w:sz w:val="24"/>
                <w:szCs w:val="24"/>
                <w:lang w:val="zh-CN"/>
              </w:rPr>
              <w:t>资质（</w:t>
            </w:r>
            <w:r>
              <w:rPr>
                <w:rFonts w:hint="eastAsia" w:ascii="宋体" w:hAnsi="宋体" w:eastAsia="宋体" w:cs="宋体"/>
                <w:color w:val="auto"/>
                <w:kern w:val="1"/>
                <w:sz w:val="24"/>
                <w:szCs w:val="24"/>
                <w:lang w:val="en-US" w:eastAsia="zh-CN"/>
              </w:rPr>
              <w:t>5分</w:t>
            </w:r>
            <w:r>
              <w:rPr>
                <w:rFonts w:hint="eastAsia" w:ascii="宋体" w:hAnsi="宋体" w:eastAsia="宋体" w:cs="宋体"/>
                <w:color w:val="auto"/>
                <w:kern w:val="1"/>
                <w:sz w:val="24"/>
                <w:szCs w:val="24"/>
                <w:lang w:val="zh-CN"/>
              </w:rPr>
              <w:t>）</w:t>
            </w:r>
          </w:p>
        </w:tc>
        <w:tc>
          <w:tcPr>
            <w:tcW w:w="6770" w:type="dxa"/>
            <w:vAlign w:val="center"/>
          </w:tcPr>
          <w:p>
            <w:pPr>
              <w:spacing w:line="360" w:lineRule="auto"/>
              <w:rPr>
                <w:rFonts w:hint="eastAsia" w:ascii="宋体" w:hAnsi="宋体" w:eastAsia="宋体" w:cs="宋体"/>
                <w:color w:val="auto"/>
                <w:kern w:val="1"/>
                <w:sz w:val="24"/>
                <w:szCs w:val="24"/>
                <w:lang w:val="zh-CN"/>
              </w:rPr>
            </w:pPr>
            <w:r>
              <w:rPr>
                <w:rFonts w:hint="eastAsia" w:ascii="宋体" w:hAnsi="宋体" w:eastAsia="宋体" w:cs="宋体"/>
                <w:color w:val="auto"/>
                <w:kern w:val="1"/>
                <w:sz w:val="24"/>
                <w:szCs w:val="24"/>
                <w:lang w:val="zh-CN"/>
              </w:rPr>
              <w:t>具备银行间市场交易商协会非金融企业债务融资工具承销业务A类主承销商资质的得5分，B类承销商资质得2分，最高得5分。提供中国银行间市场交易商协会查询截图。</w:t>
            </w:r>
          </w:p>
          <w:p>
            <w:pPr>
              <w:spacing w:line="360" w:lineRule="auto"/>
              <w:rPr>
                <w:rFonts w:hint="eastAsia" w:ascii="宋体" w:hAnsi="宋体" w:eastAsia="宋体" w:cs="宋体"/>
                <w:color w:val="auto"/>
                <w:lang w:val="zh-CN"/>
              </w:rPr>
            </w:pPr>
            <w:r>
              <w:rPr>
                <w:rFonts w:hint="eastAsia" w:ascii="宋体" w:hAnsi="宋体" w:eastAsia="宋体" w:cs="宋体"/>
                <w:b/>
                <w:bCs/>
                <w:color w:val="auto"/>
                <w:kern w:val="1"/>
                <w:sz w:val="24"/>
                <w:szCs w:val="24"/>
                <w:lang w:val="zh-CN"/>
              </w:rPr>
              <w:t>注：如是联合体参选的，按联合体成员中最高资质计算得分，不累计。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41" w:hRule="atLeast"/>
          <w:jc w:val="center"/>
        </w:trPr>
        <w:tc>
          <w:tcPr>
            <w:tcW w:w="1144" w:type="dxa"/>
            <w:vMerge w:val="continue"/>
            <w:vAlign w:val="center"/>
          </w:tcPr>
          <w:p>
            <w:pPr>
              <w:spacing w:line="360" w:lineRule="auto"/>
              <w:jc w:val="center"/>
              <w:rPr>
                <w:rFonts w:hint="eastAsia" w:ascii="宋体" w:hAnsi="宋体" w:eastAsia="宋体" w:cs="宋体"/>
                <w:color w:val="auto"/>
                <w:kern w:val="1"/>
                <w:sz w:val="24"/>
                <w:szCs w:val="24"/>
              </w:rPr>
            </w:pPr>
          </w:p>
        </w:tc>
        <w:tc>
          <w:tcPr>
            <w:tcW w:w="1275" w:type="dxa"/>
            <w:vAlign w:val="center"/>
          </w:tcPr>
          <w:p>
            <w:pPr>
              <w:spacing w:line="360" w:lineRule="auto"/>
              <w:jc w:val="center"/>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发债实力（1</w:t>
            </w:r>
            <w:r>
              <w:rPr>
                <w:rFonts w:hint="eastAsia" w:ascii="宋体" w:hAnsi="宋体" w:eastAsia="宋体" w:cs="宋体"/>
                <w:color w:val="auto"/>
                <w:kern w:val="1"/>
                <w:sz w:val="24"/>
                <w:szCs w:val="24"/>
                <w:lang w:val="en-US" w:eastAsia="zh-CN"/>
              </w:rPr>
              <w:t>6</w:t>
            </w:r>
            <w:r>
              <w:rPr>
                <w:rFonts w:hint="eastAsia" w:ascii="宋体" w:hAnsi="宋体" w:eastAsia="宋体" w:cs="宋体"/>
                <w:color w:val="auto"/>
                <w:kern w:val="1"/>
                <w:sz w:val="24"/>
                <w:szCs w:val="24"/>
              </w:rPr>
              <w:t>分）</w:t>
            </w:r>
          </w:p>
        </w:tc>
        <w:tc>
          <w:tcPr>
            <w:tcW w:w="6770" w:type="dxa"/>
            <w:vAlign w:val="center"/>
          </w:tcPr>
          <w:p>
            <w:pPr>
              <w:spacing w:line="360" w:lineRule="auto"/>
              <w:rPr>
                <w:rFonts w:hint="eastAsia" w:ascii="宋体" w:hAnsi="宋体" w:eastAsia="宋体" w:cs="宋体"/>
                <w:b w:val="0"/>
                <w:bCs w:val="0"/>
                <w:color w:val="auto"/>
                <w:kern w:val="1"/>
                <w:sz w:val="24"/>
                <w:szCs w:val="24"/>
                <w:lang w:val="zh-CN"/>
              </w:rPr>
            </w:pPr>
            <w:r>
              <w:rPr>
                <w:rFonts w:hint="eastAsia" w:ascii="宋体" w:hAnsi="宋体" w:eastAsia="宋体" w:cs="宋体"/>
                <w:b w:val="0"/>
                <w:bCs w:val="0"/>
                <w:color w:val="auto"/>
                <w:kern w:val="1"/>
                <w:sz w:val="24"/>
                <w:szCs w:val="24"/>
                <w:lang w:val="zh-CN"/>
              </w:rPr>
              <w:t>分别对2021年、2022年度承销金额排名情况从以下四个方面（WIMD-NAFMII）进行打分，满分16分，各项2分：</w:t>
            </w:r>
          </w:p>
          <w:p>
            <w:pPr>
              <w:spacing w:line="360" w:lineRule="auto"/>
              <w:rPr>
                <w:rFonts w:hint="eastAsia" w:ascii="宋体" w:hAnsi="宋体" w:eastAsia="宋体" w:cs="宋体"/>
                <w:b w:val="0"/>
                <w:bCs w:val="0"/>
                <w:color w:val="auto"/>
                <w:kern w:val="1"/>
                <w:sz w:val="24"/>
                <w:szCs w:val="24"/>
                <w:lang w:val="zh-CN"/>
              </w:rPr>
            </w:pPr>
            <w:r>
              <w:rPr>
                <w:rFonts w:hint="eastAsia" w:ascii="宋体" w:hAnsi="宋体" w:eastAsia="宋体" w:cs="宋体"/>
                <w:b w:val="0"/>
                <w:bCs w:val="0"/>
                <w:color w:val="auto"/>
                <w:kern w:val="1"/>
                <w:sz w:val="24"/>
                <w:szCs w:val="24"/>
                <w:lang w:val="zh-CN"/>
              </w:rPr>
              <w:t>1、银行间债券承销金额全国排名；每降低1排名，扣0.1分（20名以后不得分）；</w:t>
            </w:r>
          </w:p>
          <w:p>
            <w:pPr>
              <w:spacing w:line="360" w:lineRule="auto"/>
              <w:rPr>
                <w:rFonts w:hint="eastAsia" w:ascii="宋体" w:hAnsi="宋体" w:eastAsia="宋体" w:cs="宋体"/>
                <w:b w:val="0"/>
                <w:bCs w:val="0"/>
                <w:color w:val="auto"/>
                <w:kern w:val="1"/>
                <w:sz w:val="24"/>
                <w:szCs w:val="24"/>
                <w:lang w:val="zh-CN"/>
              </w:rPr>
            </w:pPr>
            <w:r>
              <w:rPr>
                <w:rFonts w:hint="eastAsia" w:ascii="宋体" w:hAnsi="宋体" w:eastAsia="宋体" w:cs="宋体"/>
                <w:b w:val="0"/>
                <w:bCs w:val="0"/>
                <w:color w:val="auto"/>
                <w:kern w:val="1"/>
                <w:sz w:val="24"/>
                <w:szCs w:val="24"/>
                <w:lang w:val="zh-CN"/>
              </w:rPr>
              <w:t>2、短融承销金额全国排名；每降低1排名，扣0.1分（20名以后不得分）；</w:t>
            </w:r>
          </w:p>
          <w:p>
            <w:pPr>
              <w:spacing w:line="360" w:lineRule="auto"/>
              <w:rPr>
                <w:rFonts w:hint="eastAsia" w:ascii="宋体" w:hAnsi="宋体" w:eastAsia="宋体" w:cs="宋体"/>
                <w:b w:val="0"/>
                <w:bCs w:val="0"/>
                <w:color w:val="auto"/>
                <w:kern w:val="1"/>
                <w:sz w:val="24"/>
                <w:szCs w:val="24"/>
                <w:lang w:val="zh-CN"/>
              </w:rPr>
            </w:pPr>
            <w:r>
              <w:rPr>
                <w:rFonts w:hint="eastAsia" w:ascii="宋体" w:hAnsi="宋体" w:eastAsia="宋体" w:cs="宋体"/>
                <w:b w:val="0"/>
                <w:bCs w:val="0"/>
                <w:color w:val="auto"/>
                <w:kern w:val="1"/>
                <w:sz w:val="24"/>
                <w:szCs w:val="24"/>
                <w:lang w:val="zh-CN"/>
              </w:rPr>
              <w:t>3、银行间债券承销金额河南省排名；每降低1排名，扣0.1分（20名以后不得分）；</w:t>
            </w:r>
          </w:p>
          <w:p>
            <w:pPr>
              <w:spacing w:line="360" w:lineRule="auto"/>
              <w:rPr>
                <w:rFonts w:hint="eastAsia" w:ascii="宋体" w:hAnsi="宋体" w:eastAsia="宋体" w:cs="宋体"/>
                <w:b w:val="0"/>
                <w:bCs w:val="0"/>
                <w:color w:val="auto"/>
                <w:kern w:val="1"/>
                <w:sz w:val="24"/>
                <w:szCs w:val="24"/>
                <w:lang w:val="zh-CN"/>
              </w:rPr>
            </w:pPr>
            <w:r>
              <w:rPr>
                <w:rFonts w:hint="eastAsia" w:ascii="宋体" w:hAnsi="宋体" w:eastAsia="宋体" w:cs="宋体"/>
                <w:b w:val="0"/>
                <w:bCs w:val="0"/>
                <w:color w:val="auto"/>
                <w:kern w:val="1"/>
                <w:sz w:val="24"/>
                <w:szCs w:val="24"/>
                <w:lang w:val="zh-CN"/>
              </w:rPr>
              <w:t>4、短融承销金额河南省排名；每降低1排名，扣0.1分（20名以后不得分）。</w:t>
            </w:r>
          </w:p>
          <w:p>
            <w:pPr>
              <w:spacing w:line="360" w:lineRule="auto"/>
              <w:rPr>
                <w:rFonts w:hint="eastAsia" w:ascii="宋体" w:hAnsi="宋体" w:eastAsia="宋体" w:cs="宋体"/>
                <w:b w:val="0"/>
                <w:bCs w:val="0"/>
                <w:color w:val="auto"/>
                <w:kern w:val="1"/>
                <w:sz w:val="24"/>
                <w:szCs w:val="24"/>
                <w:lang w:val="zh-CN"/>
              </w:rPr>
            </w:pPr>
            <w:r>
              <w:rPr>
                <w:rFonts w:hint="eastAsia" w:ascii="宋体" w:hAnsi="宋体" w:eastAsia="宋体" w:cs="宋体"/>
                <w:b w:val="0"/>
                <w:bCs w:val="0"/>
                <w:color w:val="auto"/>
                <w:kern w:val="1"/>
                <w:sz w:val="24"/>
                <w:szCs w:val="24"/>
                <w:lang w:val="zh-CN"/>
              </w:rPr>
              <w:t>参选人提供Wind统计数据截图，不提供截图者得0分。</w:t>
            </w:r>
          </w:p>
          <w:p>
            <w:pPr>
              <w:spacing w:line="360" w:lineRule="auto"/>
              <w:rPr>
                <w:rFonts w:hint="eastAsia" w:ascii="宋体" w:hAnsi="宋体" w:eastAsia="宋体" w:cs="宋体"/>
                <w:b/>
                <w:bCs/>
                <w:color w:val="auto"/>
                <w:kern w:val="1"/>
                <w:sz w:val="24"/>
                <w:szCs w:val="24"/>
                <w:lang w:val="zh-CN"/>
              </w:rPr>
            </w:pPr>
            <w:r>
              <w:rPr>
                <w:rFonts w:hint="eastAsia" w:ascii="宋体" w:hAnsi="宋体" w:eastAsia="宋体" w:cs="宋体"/>
                <w:b/>
                <w:bCs/>
                <w:color w:val="auto"/>
                <w:kern w:val="1"/>
                <w:sz w:val="24"/>
                <w:szCs w:val="24"/>
                <w:lang w:val="zh-CN"/>
              </w:rPr>
              <w:t>注：如是联合体参选的，按联合体成员中最高实力计算得分，不累计。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97" w:hRule="atLeast"/>
          <w:jc w:val="center"/>
        </w:trPr>
        <w:tc>
          <w:tcPr>
            <w:tcW w:w="9189" w:type="dxa"/>
            <w:gridSpan w:val="3"/>
            <w:vAlign w:val="center"/>
          </w:tcPr>
          <w:p>
            <w:pPr>
              <w:spacing w:line="360" w:lineRule="auto"/>
              <w:jc w:val="left"/>
              <w:rPr>
                <w:rFonts w:hint="eastAsia" w:ascii="宋体" w:hAnsi="宋体" w:eastAsia="宋体" w:cs="宋体"/>
                <w:b/>
                <w:color w:val="auto"/>
                <w:sz w:val="24"/>
                <w:szCs w:val="24"/>
                <w:lang w:val="zh-CN" w:bidi="zh-CN"/>
              </w:rPr>
            </w:pPr>
            <w:r>
              <w:rPr>
                <w:rFonts w:hint="eastAsia" w:ascii="宋体" w:hAnsi="宋体" w:eastAsia="宋体" w:cs="宋体"/>
                <w:b/>
                <w:color w:val="auto"/>
                <w:sz w:val="24"/>
                <w:szCs w:val="24"/>
                <w:lang w:bidi="zh-CN"/>
              </w:rPr>
              <w:t>参</w:t>
            </w:r>
            <w:r>
              <w:rPr>
                <w:rFonts w:hint="eastAsia" w:ascii="宋体" w:hAnsi="宋体" w:eastAsia="宋体" w:cs="宋体"/>
                <w:b/>
                <w:color w:val="auto"/>
                <w:sz w:val="24"/>
                <w:szCs w:val="24"/>
                <w:lang w:val="zh-CN" w:bidi="zh-CN"/>
              </w:rPr>
              <w:t>选人综合得分=价格部分</w:t>
            </w:r>
            <w:r>
              <w:rPr>
                <w:rFonts w:hint="eastAsia" w:ascii="宋体" w:hAnsi="宋体" w:eastAsia="宋体" w:cs="宋体"/>
                <w:b/>
                <w:color w:val="auto"/>
                <w:sz w:val="24"/>
                <w:szCs w:val="24"/>
                <w:lang w:bidi="zh-CN"/>
              </w:rPr>
              <w:t>+</w:t>
            </w:r>
            <w:r>
              <w:rPr>
                <w:rFonts w:hint="eastAsia" w:ascii="宋体" w:hAnsi="宋体" w:eastAsia="宋体" w:cs="宋体"/>
                <w:b/>
                <w:color w:val="auto"/>
                <w:sz w:val="24"/>
                <w:szCs w:val="24"/>
                <w:lang w:val="zh-CN" w:bidi="zh-CN"/>
              </w:rPr>
              <w:t>技术部分</w:t>
            </w:r>
            <w:r>
              <w:rPr>
                <w:rFonts w:hint="eastAsia" w:ascii="宋体" w:hAnsi="宋体" w:eastAsia="宋体" w:cs="宋体"/>
                <w:b/>
                <w:color w:val="auto"/>
                <w:sz w:val="24"/>
                <w:szCs w:val="24"/>
                <w:lang w:bidi="zh-CN"/>
              </w:rPr>
              <w:t>+</w:t>
            </w:r>
            <w:r>
              <w:rPr>
                <w:rFonts w:hint="eastAsia" w:ascii="宋体" w:hAnsi="宋体" w:eastAsia="宋体" w:cs="宋体"/>
                <w:b/>
                <w:color w:val="auto"/>
                <w:sz w:val="24"/>
                <w:szCs w:val="24"/>
                <w:lang w:val="zh-CN" w:bidi="zh-CN"/>
              </w:rPr>
              <w:t>综合部分</w:t>
            </w:r>
          </w:p>
        </w:tc>
      </w:tr>
    </w:tbl>
    <w:p>
      <w:pPr>
        <w:pStyle w:val="5"/>
        <w:numPr>
          <w:ilvl w:val="1"/>
          <w:numId w:val="0"/>
        </w:numPr>
        <w:rPr>
          <w:rFonts w:hint="eastAsia" w:ascii="宋体" w:hAnsi="宋体" w:eastAsia="宋体" w:cs="宋体"/>
          <w:b w:val="0"/>
          <w:bCs/>
          <w:color w:val="auto"/>
        </w:rPr>
      </w:pPr>
      <w:bookmarkStart w:id="53" w:name="_Toc129705778"/>
      <w:bookmarkStart w:id="54" w:name="_Toc104904099"/>
      <w:bookmarkStart w:id="55" w:name="_Toc129763162"/>
      <w:r>
        <w:rPr>
          <w:rFonts w:hint="eastAsia" w:ascii="宋体" w:hAnsi="宋体" w:eastAsia="宋体" w:cs="宋体"/>
          <w:b w:val="0"/>
          <w:bCs/>
          <w:color w:val="auto"/>
        </w:rPr>
        <w:t>备注：</w:t>
      </w:r>
      <w:r>
        <w:rPr>
          <w:rFonts w:hint="eastAsia" w:ascii="宋体" w:hAnsi="宋体" w:eastAsia="宋体" w:cs="宋体"/>
          <w:b w:val="0"/>
          <w:bCs/>
          <w:color w:val="auto"/>
          <w:lang w:val="zh-CN"/>
        </w:rPr>
        <w:t>组成联合体的</w:t>
      </w:r>
      <w:r>
        <w:rPr>
          <w:rFonts w:hint="eastAsia" w:ascii="宋体" w:hAnsi="宋体" w:eastAsia="宋体" w:cs="宋体"/>
          <w:b w:val="0"/>
          <w:bCs/>
          <w:color w:val="auto"/>
        </w:rPr>
        <w:t>参选</w:t>
      </w:r>
      <w:r>
        <w:rPr>
          <w:rFonts w:hint="eastAsia" w:ascii="宋体" w:hAnsi="宋体" w:eastAsia="宋体" w:cs="宋体"/>
          <w:b w:val="0"/>
          <w:bCs/>
          <w:color w:val="auto"/>
          <w:lang w:val="zh-CN"/>
        </w:rPr>
        <w:t>人，只可按照得分较高的一方进行评分。</w:t>
      </w:r>
      <w:bookmarkEnd w:id="53"/>
      <w:bookmarkEnd w:id="54"/>
      <w:bookmarkEnd w:id="55"/>
    </w:p>
    <w:p>
      <w:pPr>
        <w:spacing w:line="360" w:lineRule="auto"/>
        <w:jc w:val="left"/>
        <w:rPr>
          <w:rFonts w:hint="eastAsia" w:ascii="宋体" w:hAnsi="宋体" w:eastAsia="宋体" w:cs="宋体"/>
          <w:b/>
          <w:color w:val="auto"/>
          <w:kern w:val="1"/>
          <w:sz w:val="24"/>
          <w:szCs w:val="24"/>
        </w:rPr>
      </w:pPr>
      <w:r>
        <w:rPr>
          <w:rFonts w:hint="eastAsia" w:ascii="宋体" w:hAnsi="宋体" w:eastAsia="宋体" w:cs="宋体"/>
          <w:b/>
          <w:color w:val="auto"/>
          <w:kern w:val="1"/>
          <w:sz w:val="24"/>
          <w:szCs w:val="24"/>
        </w:rPr>
        <w:t>2、比选响应文件的澄清</w:t>
      </w:r>
    </w:p>
    <w:p>
      <w:pPr>
        <w:spacing w:line="360" w:lineRule="auto"/>
        <w:ind w:firstLine="480" w:firstLineChars="200"/>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为了有助于比选响应文件的审查、评价与比较，比选小组可以要求参选人澄清其比选响应文件中的有关问题，有关澄清的要求与答复应在规定的时间内以书面形式进行，但不允许更改比选响应文件的其他实质性内容。</w:t>
      </w:r>
    </w:p>
    <w:p>
      <w:pPr>
        <w:pStyle w:val="25"/>
        <w:rPr>
          <w:rFonts w:hint="eastAsia" w:ascii="宋体" w:hAnsi="宋体" w:eastAsia="宋体" w:cs="宋体"/>
          <w:bCs w:val="0"/>
          <w:color w:val="auto"/>
          <w:kern w:val="0"/>
          <w:szCs w:val="44"/>
        </w:rPr>
        <w:sectPr>
          <w:pgSz w:w="11906" w:h="16838"/>
          <w:pgMar w:top="1417" w:right="1417" w:bottom="1418" w:left="1701" w:header="851" w:footer="992" w:gutter="0"/>
          <w:cols w:space="425" w:num="1"/>
          <w:titlePg/>
          <w:docGrid w:type="lines" w:linePitch="312" w:charSpace="0"/>
        </w:sectPr>
      </w:pPr>
    </w:p>
    <w:p>
      <w:pPr>
        <w:pStyle w:val="25"/>
        <w:rPr>
          <w:rFonts w:hint="eastAsia" w:ascii="宋体" w:hAnsi="宋体" w:eastAsia="宋体" w:cs="宋体"/>
          <w:bCs w:val="0"/>
          <w:color w:val="auto"/>
          <w:kern w:val="0"/>
          <w:szCs w:val="44"/>
        </w:rPr>
      </w:pPr>
      <w:bookmarkStart w:id="56" w:name="_Toc129763163"/>
      <w:r>
        <w:rPr>
          <w:rFonts w:hint="eastAsia" w:ascii="宋体" w:hAnsi="宋体" w:eastAsia="宋体" w:cs="宋体"/>
          <w:bCs w:val="0"/>
          <w:color w:val="auto"/>
          <w:kern w:val="0"/>
          <w:szCs w:val="44"/>
        </w:rPr>
        <w:t>第五章其他事项声明</w:t>
      </w:r>
      <w:bookmarkEnd w:id="56"/>
    </w:p>
    <w:p>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本次比选文书效力仅限于</w:t>
      </w:r>
      <w:r>
        <w:rPr>
          <w:rFonts w:hint="eastAsia" w:ascii="宋体" w:hAnsi="宋体" w:eastAsia="宋体" w:cs="宋体"/>
          <w:color w:val="auto"/>
          <w:sz w:val="24"/>
          <w:szCs w:val="24"/>
          <w:lang w:eastAsia="zh-CN"/>
        </w:rPr>
        <w:t>驻马店市发展投资集团有限公司选聘2023年公开发行短期融资券或超短期融资券主承销商项目</w:t>
      </w:r>
      <w:r>
        <w:rPr>
          <w:rFonts w:hint="eastAsia" w:ascii="宋体" w:hAnsi="宋体" w:eastAsia="宋体" w:cs="宋体"/>
          <w:color w:val="auto"/>
          <w:sz w:val="24"/>
          <w:szCs w:val="24"/>
        </w:rPr>
        <w:t>选聘中介机构，具体执行以正式合同或双方书面约定为准。</w:t>
      </w:r>
    </w:p>
    <w:p>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本公司保留对上述章节文字的解释权力。</w:t>
      </w:r>
    </w:p>
    <w:p>
      <w:pPr>
        <w:pStyle w:val="25"/>
        <w:rPr>
          <w:rFonts w:hint="eastAsia" w:ascii="宋体" w:hAnsi="宋体" w:eastAsia="宋体" w:cs="宋体"/>
          <w:color w:val="auto"/>
        </w:rPr>
      </w:pPr>
      <w:bookmarkStart w:id="57" w:name="_Toc129763164"/>
      <w:r>
        <w:rPr>
          <w:rFonts w:hint="eastAsia" w:ascii="宋体" w:hAnsi="宋体" w:eastAsia="宋体" w:cs="宋体"/>
          <w:bCs w:val="0"/>
          <w:color w:val="auto"/>
          <w:kern w:val="0"/>
          <w:szCs w:val="44"/>
        </w:rPr>
        <w:t>第六章</w:t>
      </w:r>
      <w:r>
        <w:rPr>
          <w:rFonts w:hint="eastAsia" w:ascii="宋体" w:hAnsi="宋体" w:eastAsia="宋体" w:cs="宋体"/>
          <w:color w:val="auto"/>
        </w:rPr>
        <w:t>项目需求</w:t>
      </w:r>
      <w:bookmarkEnd w:id="57"/>
    </w:p>
    <w:p>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项目名称：驻马店市发展投资集团有限公司选聘2023年公开发行短期融资券或超短期融资券主承销商项目</w:t>
      </w:r>
    </w:p>
    <w:p>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招标范围：本次发行债券的相关工作（包括但不限于发行方案编制、报批、后续的发行承销、登记备案及债券本息的代理兑付等）。</w:t>
      </w:r>
    </w:p>
    <w:p>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申报额度及期限</w:t>
      </w:r>
    </w:p>
    <w:p>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（一）金额：不超过10亿元；</w:t>
      </w:r>
    </w:p>
    <w:p>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（二）期限：不超过1年；</w:t>
      </w:r>
    </w:p>
    <w:p>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（三）承销方式：余额包销。</w:t>
      </w:r>
    </w:p>
    <w:p>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承销费率报价：报价上限为成功发行债券金额的0.1%/年，大于报价上限或报价为零的单位，按无效响应处理。</w:t>
      </w:r>
    </w:p>
    <w:p>
      <w:pPr>
        <w:spacing w:line="360" w:lineRule="auto"/>
        <w:ind w:firstLine="480" w:firstLineChars="200"/>
        <w:jc w:val="left"/>
        <w:rPr>
          <w:rFonts w:hint="eastAsia" w:ascii="宋体" w:hAnsi="宋体" w:eastAsia="宋体" w:cs="宋体"/>
          <w:color w:val="auto"/>
        </w:rPr>
      </w:pPr>
      <w:r>
        <w:rPr>
          <w:rFonts w:hint="eastAsia" w:ascii="宋体" w:hAnsi="宋体" w:eastAsia="宋体" w:cs="宋体"/>
          <w:color w:val="auto"/>
          <w:sz w:val="24"/>
          <w:szCs w:val="24"/>
        </w:rPr>
        <w:t>短期融资券发行方案报批时间要求：</w:t>
      </w:r>
      <w:r>
        <w:rPr>
          <w:rFonts w:hint="eastAsia" w:ascii="宋体" w:hAnsi="宋体" w:eastAsia="宋体" w:cs="宋体"/>
          <w:color w:val="auto"/>
          <w:sz w:val="24"/>
          <w:szCs w:val="24"/>
          <w:lang w:eastAsia="zh-CN"/>
        </w:rPr>
        <w:t>参选</w:t>
      </w:r>
      <w:r>
        <w:rPr>
          <w:rFonts w:hint="eastAsia" w:ascii="宋体" w:hAnsi="宋体" w:eastAsia="宋体" w:cs="宋体"/>
          <w:color w:val="auto"/>
          <w:sz w:val="24"/>
          <w:szCs w:val="24"/>
        </w:rPr>
        <w:t>人须在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文件中提供本次短期融资券发行方案报批的时间进度方案，须在收到《中标通知书》之日起90日内报送至银行间协会，并取得受理进程。超过规定时限，</w:t>
      </w:r>
      <w:r>
        <w:rPr>
          <w:rFonts w:hint="eastAsia" w:ascii="宋体" w:hAnsi="宋体" w:eastAsia="宋体" w:cs="宋体"/>
          <w:color w:val="auto"/>
          <w:sz w:val="24"/>
          <w:szCs w:val="24"/>
          <w:lang w:eastAsia="zh-CN"/>
        </w:rPr>
        <w:t>比选</w:t>
      </w:r>
      <w:r>
        <w:rPr>
          <w:rFonts w:hint="eastAsia" w:ascii="宋体" w:hAnsi="宋体" w:eastAsia="宋体" w:cs="宋体"/>
          <w:color w:val="auto"/>
          <w:sz w:val="24"/>
          <w:szCs w:val="24"/>
        </w:rPr>
        <w:t>人有权单方面无条件解除合作协议，所有产生的费用由中</w:t>
      </w:r>
      <w:r>
        <w:rPr>
          <w:rFonts w:hint="eastAsia" w:ascii="宋体" w:hAnsi="宋体" w:eastAsia="宋体" w:cs="宋体"/>
          <w:color w:val="auto"/>
          <w:sz w:val="24"/>
          <w:szCs w:val="24"/>
          <w:lang w:eastAsia="zh-CN"/>
        </w:rPr>
        <w:t>选</w:t>
      </w:r>
      <w:r>
        <w:rPr>
          <w:rFonts w:hint="eastAsia" w:ascii="宋体" w:hAnsi="宋体" w:eastAsia="宋体" w:cs="宋体"/>
          <w:color w:val="auto"/>
          <w:sz w:val="24"/>
          <w:szCs w:val="24"/>
        </w:rPr>
        <w:t>人自行承担，解除协议后</w:t>
      </w:r>
      <w:r>
        <w:rPr>
          <w:rFonts w:hint="eastAsia" w:ascii="宋体" w:hAnsi="宋体" w:eastAsia="宋体" w:cs="宋体"/>
          <w:color w:val="auto"/>
          <w:sz w:val="24"/>
          <w:szCs w:val="24"/>
          <w:lang w:eastAsia="zh-CN"/>
        </w:rPr>
        <w:t>比选</w:t>
      </w:r>
      <w:r>
        <w:rPr>
          <w:rFonts w:hint="eastAsia" w:ascii="宋体" w:hAnsi="宋体" w:eastAsia="宋体" w:cs="宋体"/>
          <w:color w:val="auto"/>
          <w:sz w:val="24"/>
          <w:szCs w:val="24"/>
        </w:rPr>
        <w:t>人有权从本次</w:t>
      </w:r>
      <w:r>
        <w:rPr>
          <w:rFonts w:hint="eastAsia" w:ascii="宋体" w:hAnsi="宋体" w:eastAsia="宋体" w:cs="宋体"/>
          <w:color w:val="auto"/>
          <w:sz w:val="24"/>
          <w:szCs w:val="24"/>
          <w:lang w:eastAsia="zh-CN"/>
        </w:rPr>
        <w:t>评选</w:t>
      </w:r>
      <w:r>
        <w:rPr>
          <w:rFonts w:hint="eastAsia" w:ascii="宋体" w:hAnsi="宋体" w:eastAsia="宋体" w:cs="宋体"/>
          <w:color w:val="auto"/>
          <w:sz w:val="24"/>
          <w:szCs w:val="24"/>
        </w:rPr>
        <w:t>结果中按顺序再次选择承销商</w:t>
      </w:r>
      <w:r>
        <w:rPr>
          <w:rFonts w:hint="eastAsia" w:ascii="宋体" w:hAnsi="宋体" w:eastAsia="宋体" w:cs="宋体"/>
          <w:color w:val="auto"/>
          <w:sz w:val="24"/>
          <w:szCs w:val="24"/>
          <w:lang w:eastAsia="zh-CN"/>
        </w:rPr>
        <w:t>。最终申报债券品种以董事会研究为准</w:t>
      </w:r>
      <w:r>
        <w:rPr>
          <w:rFonts w:hint="eastAsia" w:ascii="宋体" w:hAnsi="宋体" w:eastAsia="宋体" w:cs="宋体"/>
          <w:color w:val="auto"/>
          <w:sz w:val="24"/>
          <w:szCs w:val="24"/>
        </w:rPr>
        <w:t>。</w:t>
      </w:r>
    </w:p>
    <w:sectPr>
      <w:pgSz w:w="11906" w:h="16838"/>
      <w:pgMar w:top="1417" w:right="1417" w:bottom="1418" w:left="1701"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rPr>
      <w:id w:val="-1208565085"/>
    </w:sdtPr>
    <w:sdtEndPr>
      <w:rPr>
        <w:rFonts w:ascii="Times New Roman" w:hAnsi="Times New Roman" w:cs="Times New Roman"/>
      </w:rPr>
    </w:sdtEndPr>
    <w:sdtContent>
      <w:p>
        <w:pPr>
          <w:pStyle w:val="19"/>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16</w:t>
        </w:r>
        <w:r>
          <w:rPr>
            <w:rFonts w:ascii="Times New Roman" w:hAnsi="Times New Roman" w:cs="Times New Roman"/>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rPr>
      <w:id w:val="-1122772531"/>
    </w:sdtPr>
    <w:sdtEndPr>
      <w:rPr>
        <w:rFonts w:ascii="Times New Roman" w:hAnsi="Times New Roman" w:cs="Times New Roman"/>
      </w:rPr>
    </w:sdtEndPr>
    <w:sdtContent>
      <w:p>
        <w:pPr>
          <w:pStyle w:val="19"/>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23</w:t>
        </w:r>
        <w:r>
          <w:rPr>
            <w:rFonts w:ascii="Times New Roman" w:hAnsi="Times New Roman" w:cs="Times New Roman"/>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rPr>
      <w:id w:val="1512175133"/>
    </w:sdtPr>
    <w:sdtEndPr>
      <w:rPr>
        <w:rFonts w:ascii="Times New Roman" w:hAnsi="Times New Roman" w:cs="Times New Roman"/>
      </w:rPr>
    </w:sdtEndPr>
    <w:sdtContent>
      <w:p>
        <w:pPr>
          <w:pStyle w:val="19"/>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19</w:t>
        </w:r>
        <w:r>
          <w:rPr>
            <w:rFonts w:ascii="Times New Roman" w:hAnsi="Times New Roman" w:cs="Times New Roma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left"/>
      <w:rPr>
        <w:szCs w:val="21"/>
      </w:rPr>
    </w:pPr>
    <w:r>
      <w:rPr>
        <w:rFonts w:hint="eastAsia"/>
        <w:szCs w:val="21"/>
        <w:lang w:eastAsia="zh-CN"/>
      </w:rPr>
      <w:t>驻马店市发展投资集团有限公司</w:t>
    </w:r>
    <w:r>
      <w:rPr>
        <w:rFonts w:hint="eastAsia"/>
        <w:szCs w:val="21"/>
      </w:rPr>
      <w:t>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left"/>
      <w:rPr>
        <w:szCs w:val="21"/>
      </w:rPr>
    </w:pPr>
    <w:r>
      <w:rPr>
        <w:rFonts w:hint="eastAsia"/>
        <w:szCs w:val="21"/>
        <w:lang w:eastAsia="zh-CN"/>
      </w:rPr>
      <w:t>驻马店市发展投资集团有限公司</w:t>
    </w:r>
    <w:r>
      <w:rPr>
        <w:rFonts w:hint="eastAsia"/>
        <w:szCs w:val="21"/>
      </w:rPr>
      <w:t>比选文件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left"/>
      <w:rPr>
        <w:szCs w:val="21"/>
      </w:rPr>
    </w:pPr>
    <w:r>
      <w:rPr>
        <w:rFonts w:hint="eastAsia"/>
        <w:szCs w:val="21"/>
        <w:lang w:eastAsia="zh-CN"/>
      </w:rPr>
      <w:t>驻马店市发展投资集团有限公司</w:t>
    </w:r>
    <w:r>
      <w:rPr>
        <w:rFonts w:hint="eastAsia"/>
        <w:szCs w:val="21"/>
      </w:rPr>
      <w:t>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D61693"/>
    <w:multiLevelType w:val="multilevel"/>
    <w:tmpl w:val="01D61693"/>
    <w:lvl w:ilvl="0" w:tentative="0">
      <w:start w:val="2"/>
      <w:numFmt w:val="decimal"/>
      <w:lvlText w:val="%1、"/>
      <w:lvlJc w:val="left"/>
      <w:pPr>
        <w:ind w:left="786" w:hanging="366"/>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535762E"/>
    <w:multiLevelType w:val="multilevel"/>
    <w:tmpl w:val="0535762E"/>
    <w:lvl w:ilvl="0" w:tentative="0">
      <w:start w:val="1"/>
      <w:numFmt w:val="decimal"/>
      <w:lvlText w:val="7.%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65E7C24"/>
    <w:multiLevelType w:val="multilevel"/>
    <w:tmpl w:val="065E7C24"/>
    <w:lvl w:ilvl="0" w:tentative="0">
      <w:start w:val="1"/>
      <w:numFmt w:val="decimal"/>
      <w:lvlText w:val="16.1.%1"/>
      <w:lvlJc w:val="left"/>
      <w:pPr>
        <w:ind w:left="1260"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08277826"/>
    <w:multiLevelType w:val="multilevel"/>
    <w:tmpl w:val="08277826"/>
    <w:lvl w:ilvl="0" w:tentative="0">
      <w:start w:val="1"/>
      <w:numFmt w:val="decimal"/>
      <w:lvlText w:val="6.%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8A37C10"/>
    <w:multiLevelType w:val="multilevel"/>
    <w:tmpl w:val="08A37C10"/>
    <w:lvl w:ilvl="0" w:tentative="0">
      <w:start w:val="1"/>
      <w:numFmt w:val="decimal"/>
      <w:lvlText w:val="5.%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B752BD1"/>
    <w:multiLevelType w:val="multilevel"/>
    <w:tmpl w:val="0B752BD1"/>
    <w:lvl w:ilvl="0" w:tentative="0">
      <w:start w:val="1"/>
      <w:numFmt w:val="decimal"/>
      <w:lvlText w:val="8.%1"/>
      <w:lvlJc w:val="left"/>
      <w:pPr>
        <w:ind w:left="420" w:hanging="420"/>
      </w:pPr>
      <w:rPr>
        <w:rFonts w:hint="default"/>
        <w:sz w:val="20"/>
        <w:szCs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B7100D5"/>
    <w:multiLevelType w:val="multilevel"/>
    <w:tmpl w:val="1B7100D5"/>
    <w:lvl w:ilvl="0" w:tentative="0">
      <w:start w:val="1"/>
      <w:numFmt w:val="decimal"/>
      <w:lvlText w:val="1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50B1ED2"/>
    <w:multiLevelType w:val="multilevel"/>
    <w:tmpl w:val="350B1ED2"/>
    <w:lvl w:ilvl="0" w:tentative="0">
      <w:start w:val="1"/>
      <w:numFmt w:val="decimal"/>
      <w:lvlText w:val="14.%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7753BD7"/>
    <w:multiLevelType w:val="multilevel"/>
    <w:tmpl w:val="37753BD7"/>
    <w:lvl w:ilvl="0" w:tentative="0">
      <w:start w:val="1"/>
      <w:numFmt w:val="decimal"/>
      <w:lvlText w:val="11.%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C3466EA"/>
    <w:multiLevelType w:val="multilevel"/>
    <w:tmpl w:val="3C3466EA"/>
    <w:lvl w:ilvl="0" w:tentative="0">
      <w:start w:val="1"/>
      <w:numFmt w:val="decimal"/>
      <w:pStyle w:val="4"/>
      <w:lvlText w:val="%1"/>
      <w:lvlJc w:val="left"/>
      <w:pPr>
        <w:tabs>
          <w:tab w:val="left" w:pos="642"/>
        </w:tabs>
        <w:ind w:left="642" w:hanging="432"/>
      </w:pPr>
      <w:rPr>
        <w:rFonts w:hint="default" w:ascii="Arial" w:hAnsi="Arial" w:eastAsia="宋体" w:cs="Times New Roman"/>
        <w:b/>
        <w:i w:val="0"/>
        <w:sz w:val="24"/>
      </w:rPr>
    </w:lvl>
    <w:lvl w:ilvl="1" w:tentative="0">
      <w:start w:val="1"/>
      <w:numFmt w:val="decimal"/>
      <w:pStyle w:val="5"/>
      <w:lvlText w:val="%1.%2"/>
      <w:lvlJc w:val="left"/>
      <w:pPr>
        <w:tabs>
          <w:tab w:val="left" w:pos="786"/>
        </w:tabs>
        <w:ind w:left="786" w:hanging="576"/>
      </w:pPr>
      <w:rPr>
        <w:rFonts w:hint="default" w:ascii="Arial" w:hAnsi="Arial" w:eastAsia="宋体" w:cs="Times New Roman"/>
        <w:b/>
        <w:i w:val="0"/>
        <w:sz w:val="24"/>
      </w:rPr>
    </w:lvl>
    <w:lvl w:ilvl="2" w:tentative="0">
      <w:start w:val="1"/>
      <w:numFmt w:val="decimal"/>
      <w:pStyle w:val="6"/>
      <w:lvlText w:val="%1.%2.%3"/>
      <w:lvlJc w:val="left"/>
      <w:pPr>
        <w:tabs>
          <w:tab w:val="left" w:pos="930"/>
        </w:tabs>
        <w:ind w:left="930" w:hanging="720"/>
      </w:pPr>
    </w:lvl>
    <w:lvl w:ilvl="3" w:tentative="0">
      <w:start w:val="1"/>
      <w:numFmt w:val="decimal"/>
      <w:pStyle w:val="7"/>
      <w:lvlText w:val="%1.%2.%3.%4"/>
      <w:lvlJc w:val="left"/>
      <w:pPr>
        <w:tabs>
          <w:tab w:val="left" w:pos="1074"/>
        </w:tabs>
        <w:ind w:left="1074" w:hanging="864"/>
      </w:pPr>
    </w:lvl>
    <w:lvl w:ilvl="4" w:tentative="0">
      <w:start w:val="1"/>
      <w:numFmt w:val="decimal"/>
      <w:pStyle w:val="8"/>
      <w:lvlText w:val="%1.%2.%3.%4.%5"/>
      <w:lvlJc w:val="left"/>
      <w:pPr>
        <w:tabs>
          <w:tab w:val="left" w:pos="1218"/>
        </w:tabs>
        <w:ind w:left="1218" w:hanging="1008"/>
      </w:pPr>
    </w:lvl>
    <w:lvl w:ilvl="5" w:tentative="0">
      <w:start w:val="1"/>
      <w:numFmt w:val="decimal"/>
      <w:pStyle w:val="9"/>
      <w:lvlText w:val="%1.%2.%3.%4.%5.%6"/>
      <w:lvlJc w:val="left"/>
      <w:pPr>
        <w:tabs>
          <w:tab w:val="left" w:pos="1362"/>
        </w:tabs>
        <w:ind w:left="1362" w:hanging="1152"/>
      </w:pPr>
    </w:lvl>
    <w:lvl w:ilvl="6" w:tentative="0">
      <w:start w:val="1"/>
      <w:numFmt w:val="decimal"/>
      <w:pStyle w:val="10"/>
      <w:lvlText w:val="%1.%2.%3.%4.%5.%6.%7"/>
      <w:lvlJc w:val="left"/>
      <w:pPr>
        <w:tabs>
          <w:tab w:val="left" w:pos="1506"/>
        </w:tabs>
        <w:ind w:left="1506" w:hanging="1296"/>
      </w:pPr>
    </w:lvl>
    <w:lvl w:ilvl="7" w:tentative="0">
      <w:start w:val="1"/>
      <w:numFmt w:val="decimal"/>
      <w:pStyle w:val="11"/>
      <w:lvlText w:val="%1.%2.%3.%4.%5.%6.%7.%8"/>
      <w:lvlJc w:val="left"/>
      <w:pPr>
        <w:tabs>
          <w:tab w:val="left" w:pos="1650"/>
        </w:tabs>
        <w:ind w:left="1650" w:hanging="1440"/>
      </w:pPr>
    </w:lvl>
    <w:lvl w:ilvl="8" w:tentative="0">
      <w:start w:val="1"/>
      <w:numFmt w:val="decimal"/>
      <w:pStyle w:val="12"/>
      <w:lvlText w:val="%1.%2.%3.%4.%5.%6.%7.%8.%9"/>
      <w:lvlJc w:val="left"/>
      <w:pPr>
        <w:tabs>
          <w:tab w:val="left" w:pos="1794"/>
        </w:tabs>
        <w:ind w:left="1794" w:hanging="1584"/>
      </w:pPr>
    </w:lvl>
  </w:abstractNum>
  <w:abstractNum w:abstractNumId="10">
    <w:nsid w:val="3D0A6986"/>
    <w:multiLevelType w:val="multilevel"/>
    <w:tmpl w:val="3D0A6986"/>
    <w:lvl w:ilvl="0" w:tentative="0">
      <w:start w:val="1"/>
      <w:numFmt w:val="decimal"/>
      <w:lvlText w:val="9.%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F6A77D5"/>
    <w:multiLevelType w:val="singleLevel"/>
    <w:tmpl w:val="3F6A77D5"/>
    <w:lvl w:ilvl="0" w:tentative="0">
      <w:start w:val="1"/>
      <w:numFmt w:val="chineseCounting"/>
      <w:suff w:val="space"/>
      <w:lvlText w:val="第%1部分"/>
      <w:lvlJc w:val="left"/>
      <w:pPr>
        <w:ind w:left="420" w:firstLine="0"/>
      </w:pPr>
      <w:rPr>
        <w:rFonts w:hint="eastAsia"/>
      </w:rPr>
    </w:lvl>
  </w:abstractNum>
  <w:abstractNum w:abstractNumId="12">
    <w:nsid w:val="4B316B51"/>
    <w:multiLevelType w:val="multilevel"/>
    <w:tmpl w:val="4B316B51"/>
    <w:lvl w:ilvl="0" w:tentative="0">
      <w:start w:val="1"/>
      <w:numFmt w:val="decimal"/>
      <w:lvlText w:val="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98F4EE6"/>
    <w:multiLevelType w:val="multilevel"/>
    <w:tmpl w:val="698F4EE6"/>
    <w:lvl w:ilvl="0" w:tentative="0">
      <w:start w:val="1"/>
      <w:numFmt w:val="decimal"/>
      <w:lvlText w:val="4.%1"/>
      <w:lvlJc w:val="left"/>
      <w:pPr>
        <w:ind w:left="420" w:hanging="420"/>
      </w:pPr>
      <w:rPr>
        <w:rFonts w:hint="eastAsia"/>
      </w:rPr>
    </w:lvl>
    <w:lvl w:ilvl="1" w:tentative="0">
      <w:start w:val="1"/>
      <w:numFmt w:val="decimal"/>
      <w:lvlText w:val="4.%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215527E"/>
    <w:multiLevelType w:val="multilevel"/>
    <w:tmpl w:val="7215527E"/>
    <w:lvl w:ilvl="0" w:tentative="0">
      <w:start w:val="1"/>
      <w:numFmt w:val="decimal"/>
      <w:lvlText w:val="16.2.%1"/>
      <w:lvlJc w:val="left"/>
      <w:pPr>
        <w:ind w:left="1260"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73C633DC"/>
    <w:multiLevelType w:val="multilevel"/>
    <w:tmpl w:val="73C633DC"/>
    <w:lvl w:ilvl="0" w:tentative="0">
      <w:start w:val="1"/>
      <w:numFmt w:val="decimal"/>
      <w:lvlText w:val="8.2.%1"/>
      <w:lvlJc w:val="left"/>
      <w:pPr>
        <w:ind w:left="845"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3"/>
  </w:num>
  <w:num w:numId="4">
    <w:abstractNumId w:val="4"/>
  </w:num>
  <w:num w:numId="5">
    <w:abstractNumId w:val="3"/>
  </w:num>
  <w:num w:numId="6">
    <w:abstractNumId w:val="11"/>
  </w:num>
  <w:num w:numId="7">
    <w:abstractNumId w:val="1"/>
  </w:num>
  <w:num w:numId="8">
    <w:abstractNumId w:val="5"/>
  </w:num>
  <w:num w:numId="9">
    <w:abstractNumId w:val="15"/>
  </w:num>
  <w:num w:numId="10">
    <w:abstractNumId w:val="10"/>
  </w:num>
  <w:num w:numId="11">
    <w:abstractNumId w:val="8"/>
  </w:num>
  <w:num w:numId="12">
    <w:abstractNumId w:val="6"/>
  </w:num>
  <w:num w:numId="13">
    <w:abstractNumId w:val="7"/>
  </w:num>
  <w:num w:numId="14">
    <w:abstractNumId w:val="2"/>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lYjBhZmExYmMwYWMyOWI5NTBiM2EzMTg4YmJkZTEifQ=="/>
  </w:docVars>
  <w:rsids>
    <w:rsidRoot w:val="00641B71"/>
    <w:rsid w:val="00000706"/>
    <w:rsid w:val="00000F60"/>
    <w:rsid w:val="00002505"/>
    <w:rsid w:val="00002A02"/>
    <w:rsid w:val="0000611C"/>
    <w:rsid w:val="000076DF"/>
    <w:rsid w:val="000113F6"/>
    <w:rsid w:val="0001184A"/>
    <w:rsid w:val="00011D67"/>
    <w:rsid w:val="00012497"/>
    <w:rsid w:val="00012D35"/>
    <w:rsid w:val="00014571"/>
    <w:rsid w:val="000150E1"/>
    <w:rsid w:val="00015D72"/>
    <w:rsid w:val="000163B1"/>
    <w:rsid w:val="000165B7"/>
    <w:rsid w:val="000169D8"/>
    <w:rsid w:val="00016C7A"/>
    <w:rsid w:val="0002054D"/>
    <w:rsid w:val="00020827"/>
    <w:rsid w:val="0002211E"/>
    <w:rsid w:val="00022942"/>
    <w:rsid w:val="00022ECC"/>
    <w:rsid w:val="00023004"/>
    <w:rsid w:val="00024F59"/>
    <w:rsid w:val="00026420"/>
    <w:rsid w:val="00026B20"/>
    <w:rsid w:val="00027AA7"/>
    <w:rsid w:val="00027D2D"/>
    <w:rsid w:val="00030F9F"/>
    <w:rsid w:val="00032B52"/>
    <w:rsid w:val="000346D2"/>
    <w:rsid w:val="000362F4"/>
    <w:rsid w:val="000369D7"/>
    <w:rsid w:val="00036CC8"/>
    <w:rsid w:val="000402D0"/>
    <w:rsid w:val="000412C9"/>
    <w:rsid w:val="000414DE"/>
    <w:rsid w:val="00041EC5"/>
    <w:rsid w:val="000429B8"/>
    <w:rsid w:val="00043245"/>
    <w:rsid w:val="00043A3E"/>
    <w:rsid w:val="0004537C"/>
    <w:rsid w:val="000465CE"/>
    <w:rsid w:val="000466AB"/>
    <w:rsid w:val="00050532"/>
    <w:rsid w:val="00050BAC"/>
    <w:rsid w:val="00050BFC"/>
    <w:rsid w:val="00051700"/>
    <w:rsid w:val="0005196A"/>
    <w:rsid w:val="00051AED"/>
    <w:rsid w:val="00052675"/>
    <w:rsid w:val="00052B20"/>
    <w:rsid w:val="00053F8D"/>
    <w:rsid w:val="00057699"/>
    <w:rsid w:val="0006044D"/>
    <w:rsid w:val="0006076B"/>
    <w:rsid w:val="00060894"/>
    <w:rsid w:val="00061A47"/>
    <w:rsid w:val="000639C0"/>
    <w:rsid w:val="00063AA7"/>
    <w:rsid w:val="00064B44"/>
    <w:rsid w:val="00065DE0"/>
    <w:rsid w:val="0006639F"/>
    <w:rsid w:val="00067B63"/>
    <w:rsid w:val="0007076C"/>
    <w:rsid w:val="00070E10"/>
    <w:rsid w:val="00072489"/>
    <w:rsid w:val="0007276B"/>
    <w:rsid w:val="000732F6"/>
    <w:rsid w:val="0007493C"/>
    <w:rsid w:val="00076774"/>
    <w:rsid w:val="00076A48"/>
    <w:rsid w:val="00076D1A"/>
    <w:rsid w:val="00077D9E"/>
    <w:rsid w:val="000802AB"/>
    <w:rsid w:val="000811DE"/>
    <w:rsid w:val="0008179A"/>
    <w:rsid w:val="00084B8E"/>
    <w:rsid w:val="00085D61"/>
    <w:rsid w:val="00085DE8"/>
    <w:rsid w:val="00086227"/>
    <w:rsid w:val="00086E43"/>
    <w:rsid w:val="00091969"/>
    <w:rsid w:val="00093483"/>
    <w:rsid w:val="000948C6"/>
    <w:rsid w:val="00094D18"/>
    <w:rsid w:val="00097F50"/>
    <w:rsid w:val="000A0532"/>
    <w:rsid w:val="000A1CB9"/>
    <w:rsid w:val="000A267D"/>
    <w:rsid w:val="000A3A92"/>
    <w:rsid w:val="000A54CE"/>
    <w:rsid w:val="000A5D38"/>
    <w:rsid w:val="000A77C5"/>
    <w:rsid w:val="000A7F5C"/>
    <w:rsid w:val="000B0357"/>
    <w:rsid w:val="000B1E98"/>
    <w:rsid w:val="000B2A48"/>
    <w:rsid w:val="000B3DA9"/>
    <w:rsid w:val="000B5CD3"/>
    <w:rsid w:val="000B605C"/>
    <w:rsid w:val="000B6D10"/>
    <w:rsid w:val="000B71E1"/>
    <w:rsid w:val="000C089A"/>
    <w:rsid w:val="000C1DAA"/>
    <w:rsid w:val="000C3168"/>
    <w:rsid w:val="000C4D8F"/>
    <w:rsid w:val="000C5339"/>
    <w:rsid w:val="000C68A5"/>
    <w:rsid w:val="000C766B"/>
    <w:rsid w:val="000C7BB7"/>
    <w:rsid w:val="000D43E6"/>
    <w:rsid w:val="000D5A0E"/>
    <w:rsid w:val="000D5F99"/>
    <w:rsid w:val="000E0A3C"/>
    <w:rsid w:val="000E0FCA"/>
    <w:rsid w:val="000E11E0"/>
    <w:rsid w:val="000E1E13"/>
    <w:rsid w:val="000E301B"/>
    <w:rsid w:val="000E6995"/>
    <w:rsid w:val="000E721C"/>
    <w:rsid w:val="000F0A29"/>
    <w:rsid w:val="000F3188"/>
    <w:rsid w:val="000F50AC"/>
    <w:rsid w:val="000F5624"/>
    <w:rsid w:val="000F58E8"/>
    <w:rsid w:val="000F58EE"/>
    <w:rsid w:val="001018AC"/>
    <w:rsid w:val="00101CAC"/>
    <w:rsid w:val="00101F34"/>
    <w:rsid w:val="00102556"/>
    <w:rsid w:val="00105CB3"/>
    <w:rsid w:val="0010670E"/>
    <w:rsid w:val="00106DB7"/>
    <w:rsid w:val="00107E6B"/>
    <w:rsid w:val="001116EF"/>
    <w:rsid w:val="00111B80"/>
    <w:rsid w:val="00111D47"/>
    <w:rsid w:val="00111E81"/>
    <w:rsid w:val="00112142"/>
    <w:rsid w:val="001125CE"/>
    <w:rsid w:val="0011394E"/>
    <w:rsid w:val="001144B7"/>
    <w:rsid w:val="00117214"/>
    <w:rsid w:val="00121874"/>
    <w:rsid w:val="001222ED"/>
    <w:rsid w:val="0012263D"/>
    <w:rsid w:val="00126028"/>
    <w:rsid w:val="00126652"/>
    <w:rsid w:val="00127FE0"/>
    <w:rsid w:val="001309B0"/>
    <w:rsid w:val="00130B78"/>
    <w:rsid w:val="0013207F"/>
    <w:rsid w:val="001320C4"/>
    <w:rsid w:val="001329D7"/>
    <w:rsid w:val="00133955"/>
    <w:rsid w:val="001344D6"/>
    <w:rsid w:val="001355C6"/>
    <w:rsid w:val="0013691F"/>
    <w:rsid w:val="00137AFE"/>
    <w:rsid w:val="001401C2"/>
    <w:rsid w:val="001410D6"/>
    <w:rsid w:val="001413D9"/>
    <w:rsid w:val="00141512"/>
    <w:rsid w:val="0014261F"/>
    <w:rsid w:val="00142CA5"/>
    <w:rsid w:val="00142E61"/>
    <w:rsid w:val="0014353A"/>
    <w:rsid w:val="0014499F"/>
    <w:rsid w:val="00145D37"/>
    <w:rsid w:val="0014740F"/>
    <w:rsid w:val="00147CF7"/>
    <w:rsid w:val="00151282"/>
    <w:rsid w:val="00151A56"/>
    <w:rsid w:val="00153D4A"/>
    <w:rsid w:val="0015489A"/>
    <w:rsid w:val="0015545A"/>
    <w:rsid w:val="00155CBE"/>
    <w:rsid w:val="00157D56"/>
    <w:rsid w:val="0016079D"/>
    <w:rsid w:val="00160EF1"/>
    <w:rsid w:val="00161566"/>
    <w:rsid w:val="00161FCB"/>
    <w:rsid w:val="00162BB8"/>
    <w:rsid w:val="00164242"/>
    <w:rsid w:val="0017020F"/>
    <w:rsid w:val="00170746"/>
    <w:rsid w:val="00170948"/>
    <w:rsid w:val="001714C0"/>
    <w:rsid w:val="0017179F"/>
    <w:rsid w:val="00171E7A"/>
    <w:rsid w:val="001728BC"/>
    <w:rsid w:val="001752F2"/>
    <w:rsid w:val="00176405"/>
    <w:rsid w:val="001775C8"/>
    <w:rsid w:val="00177855"/>
    <w:rsid w:val="0018229E"/>
    <w:rsid w:val="00184F01"/>
    <w:rsid w:val="00186928"/>
    <w:rsid w:val="00186B3F"/>
    <w:rsid w:val="00186FBA"/>
    <w:rsid w:val="00192E25"/>
    <w:rsid w:val="00194B46"/>
    <w:rsid w:val="001A01B1"/>
    <w:rsid w:val="001A02A7"/>
    <w:rsid w:val="001A08A2"/>
    <w:rsid w:val="001A3490"/>
    <w:rsid w:val="001B37D5"/>
    <w:rsid w:val="001B6020"/>
    <w:rsid w:val="001B6E2E"/>
    <w:rsid w:val="001B794D"/>
    <w:rsid w:val="001C09FA"/>
    <w:rsid w:val="001C2F06"/>
    <w:rsid w:val="001C37DA"/>
    <w:rsid w:val="001C50D0"/>
    <w:rsid w:val="001C520C"/>
    <w:rsid w:val="001D0D5C"/>
    <w:rsid w:val="001D0E84"/>
    <w:rsid w:val="001D2150"/>
    <w:rsid w:val="001D30F1"/>
    <w:rsid w:val="001D567E"/>
    <w:rsid w:val="001E33AE"/>
    <w:rsid w:val="001E410E"/>
    <w:rsid w:val="001E4C9B"/>
    <w:rsid w:val="001E6200"/>
    <w:rsid w:val="001E6642"/>
    <w:rsid w:val="001E6777"/>
    <w:rsid w:val="001E749C"/>
    <w:rsid w:val="001F0287"/>
    <w:rsid w:val="001F48BC"/>
    <w:rsid w:val="001F4BBA"/>
    <w:rsid w:val="001F54C9"/>
    <w:rsid w:val="001F67CF"/>
    <w:rsid w:val="001F74E8"/>
    <w:rsid w:val="001F7EAE"/>
    <w:rsid w:val="00200CA5"/>
    <w:rsid w:val="0020189D"/>
    <w:rsid w:val="00202304"/>
    <w:rsid w:val="00203CBC"/>
    <w:rsid w:val="00207D39"/>
    <w:rsid w:val="002111BA"/>
    <w:rsid w:val="0021163D"/>
    <w:rsid w:val="00212109"/>
    <w:rsid w:val="00213E02"/>
    <w:rsid w:val="00214BE0"/>
    <w:rsid w:val="00215DA0"/>
    <w:rsid w:val="00216C5D"/>
    <w:rsid w:val="00217244"/>
    <w:rsid w:val="0021737D"/>
    <w:rsid w:val="00221CDB"/>
    <w:rsid w:val="00222489"/>
    <w:rsid w:val="002238EB"/>
    <w:rsid w:val="0022451F"/>
    <w:rsid w:val="002274B0"/>
    <w:rsid w:val="0023012A"/>
    <w:rsid w:val="00232A36"/>
    <w:rsid w:val="00232E17"/>
    <w:rsid w:val="00234677"/>
    <w:rsid w:val="00234C08"/>
    <w:rsid w:val="002352DF"/>
    <w:rsid w:val="002363D6"/>
    <w:rsid w:val="002405AB"/>
    <w:rsid w:val="00240618"/>
    <w:rsid w:val="00240753"/>
    <w:rsid w:val="00241D32"/>
    <w:rsid w:val="00241D7A"/>
    <w:rsid w:val="00241E7F"/>
    <w:rsid w:val="002425FF"/>
    <w:rsid w:val="0024363A"/>
    <w:rsid w:val="00245121"/>
    <w:rsid w:val="00246ACA"/>
    <w:rsid w:val="00247CF7"/>
    <w:rsid w:val="002507C7"/>
    <w:rsid w:val="002508CA"/>
    <w:rsid w:val="002516D9"/>
    <w:rsid w:val="0025217C"/>
    <w:rsid w:val="0025221E"/>
    <w:rsid w:val="00252C41"/>
    <w:rsid w:val="00253DCA"/>
    <w:rsid w:val="00253F75"/>
    <w:rsid w:val="00254ECA"/>
    <w:rsid w:val="00256455"/>
    <w:rsid w:val="00256B1E"/>
    <w:rsid w:val="00256E72"/>
    <w:rsid w:val="0025730C"/>
    <w:rsid w:val="002609E0"/>
    <w:rsid w:val="002611ED"/>
    <w:rsid w:val="002656C6"/>
    <w:rsid w:val="002671CF"/>
    <w:rsid w:val="002674E9"/>
    <w:rsid w:val="00267E31"/>
    <w:rsid w:val="002710A5"/>
    <w:rsid w:val="002717DD"/>
    <w:rsid w:val="00271AE1"/>
    <w:rsid w:val="00271E32"/>
    <w:rsid w:val="00272298"/>
    <w:rsid w:val="002722D0"/>
    <w:rsid w:val="00273518"/>
    <w:rsid w:val="00274802"/>
    <w:rsid w:val="00276842"/>
    <w:rsid w:val="002807E8"/>
    <w:rsid w:val="00281AA1"/>
    <w:rsid w:val="002820EC"/>
    <w:rsid w:val="00285489"/>
    <w:rsid w:val="00286BC1"/>
    <w:rsid w:val="00286BED"/>
    <w:rsid w:val="00286E4B"/>
    <w:rsid w:val="00287BC5"/>
    <w:rsid w:val="002901F6"/>
    <w:rsid w:val="00290D45"/>
    <w:rsid w:val="00292BD5"/>
    <w:rsid w:val="00293167"/>
    <w:rsid w:val="00294786"/>
    <w:rsid w:val="00296D01"/>
    <w:rsid w:val="002A063D"/>
    <w:rsid w:val="002A28AF"/>
    <w:rsid w:val="002A3506"/>
    <w:rsid w:val="002A3868"/>
    <w:rsid w:val="002A3BF2"/>
    <w:rsid w:val="002A40A1"/>
    <w:rsid w:val="002A41FE"/>
    <w:rsid w:val="002A50FE"/>
    <w:rsid w:val="002A7F0F"/>
    <w:rsid w:val="002A7FCE"/>
    <w:rsid w:val="002B0AF8"/>
    <w:rsid w:val="002B127D"/>
    <w:rsid w:val="002B2F64"/>
    <w:rsid w:val="002B3E2B"/>
    <w:rsid w:val="002B426C"/>
    <w:rsid w:val="002B4A54"/>
    <w:rsid w:val="002B520F"/>
    <w:rsid w:val="002B5C00"/>
    <w:rsid w:val="002B7636"/>
    <w:rsid w:val="002B7908"/>
    <w:rsid w:val="002B7F9B"/>
    <w:rsid w:val="002C1274"/>
    <w:rsid w:val="002C1CC1"/>
    <w:rsid w:val="002C1E04"/>
    <w:rsid w:val="002C25F0"/>
    <w:rsid w:val="002C27E6"/>
    <w:rsid w:val="002C295A"/>
    <w:rsid w:val="002C2BE1"/>
    <w:rsid w:val="002C38A1"/>
    <w:rsid w:val="002C6518"/>
    <w:rsid w:val="002D12FF"/>
    <w:rsid w:val="002D1F6D"/>
    <w:rsid w:val="002D5151"/>
    <w:rsid w:val="002D5B09"/>
    <w:rsid w:val="002D5E11"/>
    <w:rsid w:val="002E1409"/>
    <w:rsid w:val="002E18AC"/>
    <w:rsid w:val="002E21A0"/>
    <w:rsid w:val="002E2BD4"/>
    <w:rsid w:val="002E305E"/>
    <w:rsid w:val="002E3732"/>
    <w:rsid w:val="002E382D"/>
    <w:rsid w:val="002E4607"/>
    <w:rsid w:val="002E4A2B"/>
    <w:rsid w:val="002E4B1A"/>
    <w:rsid w:val="002F056D"/>
    <w:rsid w:val="002F18C4"/>
    <w:rsid w:val="002F2E68"/>
    <w:rsid w:val="002F34AF"/>
    <w:rsid w:val="002F36D8"/>
    <w:rsid w:val="002F69E5"/>
    <w:rsid w:val="00300327"/>
    <w:rsid w:val="00302464"/>
    <w:rsid w:val="00302482"/>
    <w:rsid w:val="003025A3"/>
    <w:rsid w:val="0030264D"/>
    <w:rsid w:val="00302E4C"/>
    <w:rsid w:val="003034E7"/>
    <w:rsid w:val="003039F6"/>
    <w:rsid w:val="003044F5"/>
    <w:rsid w:val="00305ADC"/>
    <w:rsid w:val="00305F23"/>
    <w:rsid w:val="00306003"/>
    <w:rsid w:val="00306136"/>
    <w:rsid w:val="00310BB0"/>
    <w:rsid w:val="003115A5"/>
    <w:rsid w:val="00312637"/>
    <w:rsid w:val="00313D03"/>
    <w:rsid w:val="00313D78"/>
    <w:rsid w:val="0031445E"/>
    <w:rsid w:val="0031507F"/>
    <w:rsid w:val="0031579A"/>
    <w:rsid w:val="00315A15"/>
    <w:rsid w:val="003171BD"/>
    <w:rsid w:val="00320087"/>
    <w:rsid w:val="00321194"/>
    <w:rsid w:val="00321B40"/>
    <w:rsid w:val="003222C8"/>
    <w:rsid w:val="00322903"/>
    <w:rsid w:val="00322DF4"/>
    <w:rsid w:val="003232D4"/>
    <w:rsid w:val="00323A08"/>
    <w:rsid w:val="003240A9"/>
    <w:rsid w:val="00324155"/>
    <w:rsid w:val="00324224"/>
    <w:rsid w:val="00324BA0"/>
    <w:rsid w:val="00326007"/>
    <w:rsid w:val="003303CA"/>
    <w:rsid w:val="00332299"/>
    <w:rsid w:val="00332B4D"/>
    <w:rsid w:val="00332C5A"/>
    <w:rsid w:val="00332D93"/>
    <w:rsid w:val="00333DBE"/>
    <w:rsid w:val="00333FE9"/>
    <w:rsid w:val="00337154"/>
    <w:rsid w:val="003410C7"/>
    <w:rsid w:val="00343143"/>
    <w:rsid w:val="003471AF"/>
    <w:rsid w:val="00352255"/>
    <w:rsid w:val="00355219"/>
    <w:rsid w:val="00355999"/>
    <w:rsid w:val="0035623D"/>
    <w:rsid w:val="003562D8"/>
    <w:rsid w:val="00357E82"/>
    <w:rsid w:val="0036038A"/>
    <w:rsid w:val="00360C54"/>
    <w:rsid w:val="0036190C"/>
    <w:rsid w:val="00361978"/>
    <w:rsid w:val="00362A40"/>
    <w:rsid w:val="0036304C"/>
    <w:rsid w:val="00366969"/>
    <w:rsid w:val="00367F18"/>
    <w:rsid w:val="00374470"/>
    <w:rsid w:val="003748BC"/>
    <w:rsid w:val="00380F5E"/>
    <w:rsid w:val="003816DD"/>
    <w:rsid w:val="00382062"/>
    <w:rsid w:val="0038215C"/>
    <w:rsid w:val="003849E1"/>
    <w:rsid w:val="00384E46"/>
    <w:rsid w:val="00384E96"/>
    <w:rsid w:val="00385A81"/>
    <w:rsid w:val="00385AA5"/>
    <w:rsid w:val="00385FA9"/>
    <w:rsid w:val="00387A16"/>
    <w:rsid w:val="003953C9"/>
    <w:rsid w:val="003965EB"/>
    <w:rsid w:val="00396C7C"/>
    <w:rsid w:val="003979C0"/>
    <w:rsid w:val="003A113D"/>
    <w:rsid w:val="003A4371"/>
    <w:rsid w:val="003A4923"/>
    <w:rsid w:val="003A4ABE"/>
    <w:rsid w:val="003A69F6"/>
    <w:rsid w:val="003B07BF"/>
    <w:rsid w:val="003B0F36"/>
    <w:rsid w:val="003B143A"/>
    <w:rsid w:val="003B4B23"/>
    <w:rsid w:val="003B578C"/>
    <w:rsid w:val="003B6254"/>
    <w:rsid w:val="003B7420"/>
    <w:rsid w:val="003B77A4"/>
    <w:rsid w:val="003B7F93"/>
    <w:rsid w:val="003C0B45"/>
    <w:rsid w:val="003C147A"/>
    <w:rsid w:val="003C44B5"/>
    <w:rsid w:val="003C47B6"/>
    <w:rsid w:val="003C4AD6"/>
    <w:rsid w:val="003C6418"/>
    <w:rsid w:val="003C6424"/>
    <w:rsid w:val="003C6960"/>
    <w:rsid w:val="003D0BAF"/>
    <w:rsid w:val="003D10E1"/>
    <w:rsid w:val="003D215C"/>
    <w:rsid w:val="003D2BF1"/>
    <w:rsid w:val="003D33E4"/>
    <w:rsid w:val="003D3A06"/>
    <w:rsid w:val="003D527C"/>
    <w:rsid w:val="003D75AB"/>
    <w:rsid w:val="003D7758"/>
    <w:rsid w:val="003E04F9"/>
    <w:rsid w:val="003E11F4"/>
    <w:rsid w:val="003E15B7"/>
    <w:rsid w:val="003E2B7C"/>
    <w:rsid w:val="003E2D91"/>
    <w:rsid w:val="003E36C4"/>
    <w:rsid w:val="003E3BE9"/>
    <w:rsid w:val="003E4200"/>
    <w:rsid w:val="003E5F9A"/>
    <w:rsid w:val="003E652F"/>
    <w:rsid w:val="003F0B72"/>
    <w:rsid w:val="003F2174"/>
    <w:rsid w:val="003F31EF"/>
    <w:rsid w:val="003F41AA"/>
    <w:rsid w:val="003F6F29"/>
    <w:rsid w:val="004048E7"/>
    <w:rsid w:val="00405F61"/>
    <w:rsid w:val="004060B7"/>
    <w:rsid w:val="00407CC7"/>
    <w:rsid w:val="00410522"/>
    <w:rsid w:val="0041158B"/>
    <w:rsid w:val="00412761"/>
    <w:rsid w:val="0041409E"/>
    <w:rsid w:val="00414240"/>
    <w:rsid w:val="0041561E"/>
    <w:rsid w:val="00415D46"/>
    <w:rsid w:val="0042033C"/>
    <w:rsid w:val="00420C81"/>
    <w:rsid w:val="004219D4"/>
    <w:rsid w:val="0042235D"/>
    <w:rsid w:val="004234C0"/>
    <w:rsid w:val="0042504C"/>
    <w:rsid w:val="00425239"/>
    <w:rsid w:val="00425D86"/>
    <w:rsid w:val="00426C32"/>
    <w:rsid w:val="0042758E"/>
    <w:rsid w:val="0043154C"/>
    <w:rsid w:val="0043196B"/>
    <w:rsid w:val="00431B9D"/>
    <w:rsid w:val="004349A9"/>
    <w:rsid w:val="00434A4B"/>
    <w:rsid w:val="004351A2"/>
    <w:rsid w:val="0043563A"/>
    <w:rsid w:val="0043575F"/>
    <w:rsid w:val="00436394"/>
    <w:rsid w:val="0043738D"/>
    <w:rsid w:val="00440EA9"/>
    <w:rsid w:val="00441441"/>
    <w:rsid w:val="00441D54"/>
    <w:rsid w:val="0044209B"/>
    <w:rsid w:val="004438DC"/>
    <w:rsid w:val="00444361"/>
    <w:rsid w:val="00444A4B"/>
    <w:rsid w:val="00445679"/>
    <w:rsid w:val="00446392"/>
    <w:rsid w:val="0045070F"/>
    <w:rsid w:val="004511CB"/>
    <w:rsid w:val="00451B77"/>
    <w:rsid w:val="004523D5"/>
    <w:rsid w:val="00454C3D"/>
    <w:rsid w:val="00454E59"/>
    <w:rsid w:val="00455873"/>
    <w:rsid w:val="00455EB8"/>
    <w:rsid w:val="0045640C"/>
    <w:rsid w:val="004572F5"/>
    <w:rsid w:val="00460A4F"/>
    <w:rsid w:val="0046101D"/>
    <w:rsid w:val="004617B5"/>
    <w:rsid w:val="00461A55"/>
    <w:rsid w:val="004621AE"/>
    <w:rsid w:val="004626E5"/>
    <w:rsid w:val="00463018"/>
    <w:rsid w:val="00463755"/>
    <w:rsid w:val="00463E90"/>
    <w:rsid w:val="004643C3"/>
    <w:rsid w:val="00464CED"/>
    <w:rsid w:val="004651B5"/>
    <w:rsid w:val="004666A8"/>
    <w:rsid w:val="00466886"/>
    <w:rsid w:val="004709FE"/>
    <w:rsid w:val="00471712"/>
    <w:rsid w:val="004737DD"/>
    <w:rsid w:val="004806D0"/>
    <w:rsid w:val="00480DFE"/>
    <w:rsid w:val="00481699"/>
    <w:rsid w:val="00481E78"/>
    <w:rsid w:val="00485B52"/>
    <w:rsid w:val="00485F2B"/>
    <w:rsid w:val="00486661"/>
    <w:rsid w:val="0049018C"/>
    <w:rsid w:val="00490C36"/>
    <w:rsid w:val="00491A75"/>
    <w:rsid w:val="00492461"/>
    <w:rsid w:val="0049315F"/>
    <w:rsid w:val="00494129"/>
    <w:rsid w:val="00494F1D"/>
    <w:rsid w:val="004961C6"/>
    <w:rsid w:val="004A0A8C"/>
    <w:rsid w:val="004A1D64"/>
    <w:rsid w:val="004A2755"/>
    <w:rsid w:val="004A2A75"/>
    <w:rsid w:val="004A3005"/>
    <w:rsid w:val="004A3876"/>
    <w:rsid w:val="004A3888"/>
    <w:rsid w:val="004A3959"/>
    <w:rsid w:val="004A48CE"/>
    <w:rsid w:val="004A4A5A"/>
    <w:rsid w:val="004A4EB1"/>
    <w:rsid w:val="004A58FD"/>
    <w:rsid w:val="004A6814"/>
    <w:rsid w:val="004B254F"/>
    <w:rsid w:val="004B3741"/>
    <w:rsid w:val="004B3874"/>
    <w:rsid w:val="004B47AD"/>
    <w:rsid w:val="004B50BC"/>
    <w:rsid w:val="004B54A2"/>
    <w:rsid w:val="004B69FA"/>
    <w:rsid w:val="004C1218"/>
    <w:rsid w:val="004C4347"/>
    <w:rsid w:val="004C6640"/>
    <w:rsid w:val="004C76F4"/>
    <w:rsid w:val="004D15A7"/>
    <w:rsid w:val="004D20B8"/>
    <w:rsid w:val="004D4CBC"/>
    <w:rsid w:val="004D5008"/>
    <w:rsid w:val="004D532E"/>
    <w:rsid w:val="004D600D"/>
    <w:rsid w:val="004D7F8C"/>
    <w:rsid w:val="004E1057"/>
    <w:rsid w:val="004E12B3"/>
    <w:rsid w:val="004E16C6"/>
    <w:rsid w:val="004E1CFB"/>
    <w:rsid w:val="004E21CE"/>
    <w:rsid w:val="004E2881"/>
    <w:rsid w:val="004E4C95"/>
    <w:rsid w:val="004E54B6"/>
    <w:rsid w:val="004E5F40"/>
    <w:rsid w:val="004E7A48"/>
    <w:rsid w:val="004F0501"/>
    <w:rsid w:val="004F35C2"/>
    <w:rsid w:val="004F35F0"/>
    <w:rsid w:val="004F4130"/>
    <w:rsid w:val="004F474D"/>
    <w:rsid w:val="004F57C5"/>
    <w:rsid w:val="004F6AD9"/>
    <w:rsid w:val="004F79B4"/>
    <w:rsid w:val="0050021C"/>
    <w:rsid w:val="00500A6F"/>
    <w:rsid w:val="005011AE"/>
    <w:rsid w:val="00501A0D"/>
    <w:rsid w:val="0050303E"/>
    <w:rsid w:val="005038BC"/>
    <w:rsid w:val="00503DC8"/>
    <w:rsid w:val="0050422A"/>
    <w:rsid w:val="005052E3"/>
    <w:rsid w:val="005053DE"/>
    <w:rsid w:val="00506E2E"/>
    <w:rsid w:val="00510E8C"/>
    <w:rsid w:val="00512E3E"/>
    <w:rsid w:val="0051347F"/>
    <w:rsid w:val="00513BB1"/>
    <w:rsid w:val="00513DCA"/>
    <w:rsid w:val="00513EDC"/>
    <w:rsid w:val="005150C1"/>
    <w:rsid w:val="005163C8"/>
    <w:rsid w:val="00516B4C"/>
    <w:rsid w:val="00517DA7"/>
    <w:rsid w:val="00520282"/>
    <w:rsid w:val="005223B7"/>
    <w:rsid w:val="005223DF"/>
    <w:rsid w:val="005233FF"/>
    <w:rsid w:val="00524902"/>
    <w:rsid w:val="00524E5B"/>
    <w:rsid w:val="00525122"/>
    <w:rsid w:val="005258A8"/>
    <w:rsid w:val="005258A9"/>
    <w:rsid w:val="00525C59"/>
    <w:rsid w:val="00525C94"/>
    <w:rsid w:val="00526460"/>
    <w:rsid w:val="00526550"/>
    <w:rsid w:val="005266CD"/>
    <w:rsid w:val="00526CF3"/>
    <w:rsid w:val="005277F0"/>
    <w:rsid w:val="00530588"/>
    <w:rsid w:val="005305DC"/>
    <w:rsid w:val="00530714"/>
    <w:rsid w:val="00530C79"/>
    <w:rsid w:val="0053103C"/>
    <w:rsid w:val="00535691"/>
    <w:rsid w:val="005401AB"/>
    <w:rsid w:val="00541186"/>
    <w:rsid w:val="005507CA"/>
    <w:rsid w:val="00552260"/>
    <w:rsid w:val="00552314"/>
    <w:rsid w:val="00553120"/>
    <w:rsid w:val="00553674"/>
    <w:rsid w:val="00553B10"/>
    <w:rsid w:val="0055408E"/>
    <w:rsid w:val="005547AF"/>
    <w:rsid w:val="00554F67"/>
    <w:rsid w:val="0055544B"/>
    <w:rsid w:val="00557384"/>
    <w:rsid w:val="00557D32"/>
    <w:rsid w:val="0056010D"/>
    <w:rsid w:val="00570A11"/>
    <w:rsid w:val="0057260B"/>
    <w:rsid w:val="00572EDC"/>
    <w:rsid w:val="00573824"/>
    <w:rsid w:val="00573854"/>
    <w:rsid w:val="00574DDB"/>
    <w:rsid w:val="00574EA8"/>
    <w:rsid w:val="005751F6"/>
    <w:rsid w:val="005772F8"/>
    <w:rsid w:val="00577577"/>
    <w:rsid w:val="0057791A"/>
    <w:rsid w:val="00577B58"/>
    <w:rsid w:val="00580CFC"/>
    <w:rsid w:val="00580F66"/>
    <w:rsid w:val="005810DB"/>
    <w:rsid w:val="005827C2"/>
    <w:rsid w:val="00583DBF"/>
    <w:rsid w:val="005843AB"/>
    <w:rsid w:val="00585BA1"/>
    <w:rsid w:val="00585EAB"/>
    <w:rsid w:val="00586187"/>
    <w:rsid w:val="005875BC"/>
    <w:rsid w:val="00590A45"/>
    <w:rsid w:val="005924F9"/>
    <w:rsid w:val="005935C0"/>
    <w:rsid w:val="00593C5D"/>
    <w:rsid w:val="00593CAF"/>
    <w:rsid w:val="005949A9"/>
    <w:rsid w:val="005954DA"/>
    <w:rsid w:val="00595508"/>
    <w:rsid w:val="00595A83"/>
    <w:rsid w:val="005960F1"/>
    <w:rsid w:val="0059693D"/>
    <w:rsid w:val="00596F84"/>
    <w:rsid w:val="005971C3"/>
    <w:rsid w:val="0059740B"/>
    <w:rsid w:val="005A3CF0"/>
    <w:rsid w:val="005A4755"/>
    <w:rsid w:val="005A4F2D"/>
    <w:rsid w:val="005A57CB"/>
    <w:rsid w:val="005A6216"/>
    <w:rsid w:val="005A6F0A"/>
    <w:rsid w:val="005A7960"/>
    <w:rsid w:val="005B00F6"/>
    <w:rsid w:val="005B1403"/>
    <w:rsid w:val="005B1D0C"/>
    <w:rsid w:val="005B2AE9"/>
    <w:rsid w:val="005B412C"/>
    <w:rsid w:val="005B4CD2"/>
    <w:rsid w:val="005B6142"/>
    <w:rsid w:val="005B6270"/>
    <w:rsid w:val="005B6764"/>
    <w:rsid w:val="005B6992"/>
    <w:rsid w:val="005B6C02"/>
    <w:rsid w:val="005B78D2"/>
    <w:rsid w:val="005C08B7"/>
    <w:rsid w:val="005C256D"/>
    <w:rsid w:val="005C2DB3"/>
    <w:rsid w:val="005C4D50"/>
    <w:rsid w:val="005C4E4F"/>
    <w:rsid w:val="005C6EAD"/>
    <w:rsid w:val="005C7422"/>
    <w:rsid w:val="005D0F74"/>
    <w:rsid w:val="005D2187"/>
    <w:rsid w:val="005D6EB0"/>
    <w:rsid w:val="005E0A1B"/>
    <w:rsid w:val="005E316C"/>
    <w:rsid w:val="005E3181"/>
    <w:rsid w:val="005E4E08"/>
    <w:rsid w:val="005E511B"/>
    <w:rsid w:val="005E5A49"/>
    <w:rsid w:val="005E5F7D"/>
    <w:rsid w:val="005E7280"/>
    <w:rsid w:val="005E7357"/>
    <w:rsid w:val="005E73DB"/>
    <w:rsid w:val="005E7D3F"/>
    <w:rsid w:val="005F1EB8"/>
    <w:rsid w:val="005F1F7C"/>
    <w:rsid w:val="005F2142"/>
    <w:rsid w:val="005F2370"/>
    <w:rsid w:val="005F255B"/>
    <w:rsid w:val="005F2F0B"/>
    <w:rsid w:val="005F3624"/>
    <w:rsid w:val="005F3D7E"/>
    <w:rsid w:val="005F5290"/>
    <w:rsid w:val="005F5446"/>
    <w:rsid w:val="005F6301"/>
    <w:rsid w:val="005F63E8"/>
    <w:rsid w:val="005F72CD"/>
    <w:rsid w:val="005F74CC"/>
    <w:rsid w:val="005F75F4"/>
    <w:rsid w:val="00600089"/>
    <w:rsid w:val="0060054F"/>
    <w:rsid w:val="006043BB"/>
    <w:rsid w:val="00605587"/>
    <w:rsid w:val="006062AD"/>
    <w:rsid w:val="006064C7"/>
    <w:rsid w:val="00606A13"/>
    <w:rsid w:val="0061274F"/>
    <w:rsid w:val="00612AF2"/>
    <w:rsid w:val="00612FFC"/>
    <w:rsid w:val="00613409"/>
    <w:rsid w:val="00613A35"/>
    <w:rsid w:val="00615D56"/>
    <w:rsid w:val="00617120"/>
    <w:rsid w:val="00620570"/>
    <w:rsid w:val="00620EBE"/>
    <w:rsid w:val="0062206E"/>
    <w:rsid w:val="00622369"/>
    <w:rsid w:val="00623A49"/>
    <w:rsid w:val="006244DA"/>
    <w:rsid w:val="00624B5D"/>
    <w:rsid w:val="00624F36"/>
    <w:rsid w:val="006269AC"/>
    <w:rsid w:val="00626EF3"/>
    <w:rsid w:val="006276A3"/>
    <w:rsid w:val="00627AC4"/>
    <w:rsid w:val="006308D9"/>
    <w:rsid w:val="006312C0"/>
    <w:rsid w:val="006322EB"/>
    <w:rsid w:val="006330C9"/>
    <w:rsid w:val="0063383B"/>
    <w:rsid w:val="00633972"/>
    <w:rsid w:val="00633A65"/>
    <w:rsid w:val="0063636C"/>
    <w:rsid w:val="00636816"/>
    <w:rsid w:val="0064052C"/>
    <w:rsid w:val="00641299"/>
    <w:rsid w:val="00641B71"/>
    <w:rsid w:val="00642C9A"/>
    <w:rsid w:val="006443E4"/>
    <w:rsid w:val="00644CCB"/>
    <w:rsid w:val="0065043C"/>
    <w:rsid w:val="00650CCF"/>
    <w:rsid w:val="00651BF4"/>
    <w:rsid w:val="00651C18"/>
    <w:rsid w:val="00652117"/>
    <w:rsid w:val="006536D0"/>
    <w:rsid w:val="0065491C"/>
    <w:rsid w:val="00654C9C"/>
    <w:rsid w:val="00654FEA"/>
    <w:rsid w:val="006556DA"/>
    <w:rsid w:val="00655A8A"/>
    <w:rsid w:val="00656087"/>
    <w:rsid w:val="00657F6F"/>
    <w:rsid w:val="00660BBD"/>
    <w:rsid w:val="00661036"/>
    <w:rsid w:val="00661645"/>
    <w:rsid w:val="00662A31"/>
    <w:rsid w:val="00663D64"/>
    <w:rsid w:val="00665560"/>
    <w:rsid w:val="00666075"/>
    <w:rsid w:val="0066612D"/>
    <w:rsid w:val="00666E9F"/>
    <w:rsid w:val="00666F4A"/>
    <w:rsid w:val="00667797"/>
    <w:rsid w:val="00670CBD"/>
    <w:rsid w:val="0067164A"/>
    <w:rsid w:val="006737DA"/>
    <w:rsid w:val="0067387A"/>
    <w:rsid w:val="00674DFB"/>
    <w:rsid w:val="0067518C"/>
    <w:rsid w:val="00676D34"/>
    <w:rsid w:val="00677B02"/>
    <w:rsid w:val="00680F67"/>
    <w:rsid w:val="006819A6"/>
    <w:rsid w:val="00681FFA"/>
    <w:rsid w:val="00683639"/>
    <w:rsid w:val="00683F4F"/>
    <w:rsid w:val="00684363"/>
    <w:rsid w:val="00684474"/>
    <w:rsid w:val="0068578B"/>
    <w:rsid w:val="00686D5C"/>
    <w:rsid w:val="00686E56"/>
    <w:rsid w:val="0069192B"/>
    <w:rsid w:val="00692EE5"/>
    <w:rsid w:val="00695829"/>
    <w:rsid w:val="00696003"/>
    <w:rsid w:val="006970AA"/>
    <w:rsid w:val="006A1717"/>
    <w:rsid w:val="006A1E52"/>
    <w:rsid w:val="006A2468"/>
    <w:rsid w:val="006A2740"/>
    <w:rsid w:val="006A375E"/>
    <w:rsid w:val="006A47D1"/>
    <w:rsid w:val="006A6187"/>
    <w:rsid w:val="006A68A9"/>
    <w:rsid w:val="006B0200"/>
    <w:rsid w:val="006B167E"/>
    <w:rsid w:val="006B18EC"/>
    <w:rsid w:val="006B33EC"/>
    <w:rsid w:val="006B3B26"/>
    <w:rsid w:val="006B3CF2"/>
    <w:rsid w:val="006B3DAE"/>
    <w:rsid w:val="006B44AE"/>
    <w:rsid w:val="006B5D67"/>
    <w:rsid w:val="006C0C60"/>
    <w:rsid w:val="006C1A19"/>
    <w:rsid w:val="006C2C6C"/>
    <w:rsid w:val="006C402B"/>
    <w:rsid w:val="006C462B"/>
    <w:rsid w:val="006C4BBF"/>
    <w:rsid w:val="006C6584"/>
    <w:rsid w:val="006D15A9"/>
    <w:rsid w:val="006D176F"/>
    <w:rsid w:val="006D18BD"/>
    <w:rsid w:val="006D3DFF"/>
    <w:rsid w:val="006D4AF9"/>
    <w:rsid w:val="006D630B"/>
    <w:rsid w:val="006D644D"/>
    <w:rsid w:val="006D7B46"/>
    <w:rsid w:val="006E0620"/>
    <w:rsid w:val="006E1203"/>
    <w:rsid w:val="006E1977"/>
    <w:rsid w:val="006E2BC1"/>
    <w:rsid w:val="006E38BA"/>
    <w:rsid w:val="006E61FD"/>
    <w:rsid w:val="006E6A35"/>
    <w:rsid w:val="006E7848"/>
    <w:rsid w:val="006E79C6"/>
    <w:rsid w:val="006E7AF4"/>
    <w:rsid w:val="006F19E5"/>
    <w:rsid w:val="006F436B"/>
    <w:rsid w:val="006F5CD8"/>
    <w:rsid w:val="006F706D"/>
    <w:rsid w:val="00700641"/>
    <w:rsid w:val="007022E8"/>
    <w:rsid w:val="00702E50"/>
    <w:rsid w:val="00705342"/>
    <w:rsid w:val="0070574E"/>
    <w:rsid w:val="007062ED"/>
    <w:rsid w:val="0071174B"/>
    <w:rsid w:val="00711936"/>
    <w:rsid w:val="0071326F"/>
    <w:rsid w:val="007172DB"/>
    <w:rsid w:val="00720334"/>
    <w:rsid w:val="007230B1"/>
    <w:rsid w:val="00724BBA"/>
    <w:rsid w:val="0072505F"/>
    <w:rsid w:val="00726059"/>
    <w:rsid w:val="00727381"/>
    <w:rsid w:val="00731170"/>
    <w:rsid w:val="00731495"/>
    <w:rsid w:val="00731BAA"/>
    <w:rsid w:val="00734AED"/>
    <w:rsid w:val="0073538D"/>
    <w:rsid w:val="007355C2"/>
    <w:rsid w:val="0073569E"/>
    <w:rsid w:val="00735F6D"/>
    <w:rsid w:val="0073780A"/>
    <w:rsid w:val="00737A0E"/>
    <w:rsid w:val="0074189A"/>
    <w:rsid w:val="00742647"/>
    <w:rsid w:val="007439DE"/>
    <w:rsid w:val="00745A7E"/>
    <w:rsid w:val="0074694B"/>
    <w:rsid w:val="00747ACB"/>
    <w:rsid w:val="00750F6B"/>
    <w:rsid w:val="007516F6"/>
    <w:rsid w:val="00751DF1"/>
    <w:rsid w:val="0075200A"/>
    <w:rsid w:val="0075243E"/>
    <w:rsid w:val="007537BD"/>
    <w:rsid w:val="00754628"/>
    <w:rsid w:val="00754871"/>
    <w:rsid w:val="007557E8"/>
    <w:rsid w:val="00760D48"/>
    <w:rsid w:val="00761202"/>
    <w:rsid w:val="007620EB"/>
    <w:rsid w:val="00763FF4"/>
    <w:rsid w:val="00764AEC"/>
    <w:rsid w:val="00764C1F"/>
    <w:rsid w:val="00765401"/>
    <w:rsid w:val="00765FA3"/>
    <w:rsid w:val="00772BCA"/>
    <w:rsid w:val="007734EF"/>
    <w:rsid w:val="00775C43"/>
    <w:rsid w:val="00777C43"/>
    <w:rsid w:val="0078045F"/>
    <w:rsid w:val="00780BCE"/>
    <w:rsid w:val="00780EBD"/>
    <w:rsid w:val="0079035B"/>
    <w:rsid w:val="00790367"/>
    <w:rsid w:val="00790817"/>
    <w:rsid w:val="007912F4"/>
    <w:rsid w:val="007946AA"/>
    <w:rsid w:val="00794C0E"/>
    <w:rsid w:val="00796106"/>
    <w:rsid w:val="007A0FD2"/>
    <w:rsid w:val="007A0FEE"/>
    <w:rsid w:val="007A3B34"/>
    <w:rsid w:val="007A7EF2"/>
    <w:rsid w:val="007B0ADC"/>
    <w:rsid w:val="007B0B93"/>
    <w:rsid w:val="007B2A9C"/>
    <w:rsid w:val="007B2BC3"/>
    <w:rsid w:val="007B76B3"/>
    <w:rsid w:val="007C1E9A"/>
    <w:rsid w:val="007C5DA7"/>
    <w:rsid w:val="007C6440"/>
    <w:rsid w:val="007C7246"/>
    <w:rsid w:val="007C7305"/>
    <w:rsid w:val="007C7595"/>
    <w:rsid w:val="007D04F9"/>
    <w:rsid w:val="007D0640"/>
    <w:rsid w:val="007D1A72"/>
    <w:rsid w:val="007D1A7D"/>
    <w:rsid w:val="007D3BE7"/>
    <w:rsid w:val="007D69A5"/>
    <w:rsid w:val="007D735B"/>
    <w:rsid w:val="007D7A7A"/>
    <w:rsid w:val="007D7E9E"/>
    <w:rsid w:val="007E0F4A"/>
    <w:rsid w:val="007E2012"/>
    <w:rsid w:val="007E21FD"/>
    <w:rsid w:val="007E3052"/>
    <w:rsid w:val="007E3221"/>
    <w:rsid w:val="007F2C80"/>
    <w:rsid w:val="007F4C36"/>
    <w:rsid w:val="007F76DD"/>
    <w:rsid w:val="00800D7E"/>
    <w:rsid w:val="00802CCA"/>
    <w:rsid w:val="00803E82"/>
    <w:rsid w:val="008050E3"/>
    <w:rsid w:val="00805578"/>
    <w:rsid w:val="00805672"/>
    <w:rsid w:val="00805FE5"/>
    <w:rsid w:val="00806F7E"/>
    <w:rsid w:val="00807AA7"/>
    <w:rsid w:val="00810806"/>
    <w:rsid w:val="00810CCB"/>
    <w:rsid w:val="00811F72"/>
    <w:rsid w:val="008137E0"/>
    <w:rsid w:val="00814C74"/>
    <w:rsid w:val="008155ED"/>
    <w:rsid w:val="00815E7B"/>
    <w:rsid w:val="0081676A"/>
    <w:rsid w:val="008176B5"/>
    <w:rsid w:val="00817BF7"/>
    <w:rsid w:val="00817E3E"/>
    <w:rsid w:val="00821EC6"/>
    <w:rsid w:val="00823698"/>
    <w:rsid w:val="0082374C"/>
    <w:rsid w:val="008239E3"/>
    <w:rsid w:val="0082437A"/>
    <w:rsid w:val="00824C09"/>
    <w:rsid w:val="00827226"/>
    <w:rsid w:val="008304FF"/>
    <w:rsid w:val="00830DFB"/>
    <w:rsid w:val="0083108A"/>
    <w:rsid w:val="008311B7"/>
    <w:rsid w:val="0083192F"/>
    <w:rsid w:val="00832CE4"/>
    <w:rsid w:val="00833A4C"/>
    <w:rsid w:val="00836DD2"/>
    <w:rsid w:val="008376FC"/>
    <w:rsid w:val="0084412B"/>
    <w:rsid w:val="008444DF"/>
    <w:rsid w:val="00844893"/>
    <w:rsid w:val="00850D53"/>
    <w:rsid w:val="00851309"/>
    <w:rsid w:val="00851FC8"/>
    <w:rsid w:val="0085674F"/>
    <w:rsid w:val="008571E6"/>
    <w:rsid w:val="00860617"/>
    <w:rsid w:val="008627E7"/>
    <w:rsid w:val="00862B43"/>
    <w:rsid w:val="00864EFF"/>
    <w:rsid w:val="008652BD"/>
    <w:rsid w:val="00865309"/>
    <w:rsid w:val="00865559"/>
    <w:rsid w:val="008658D4"/>
    <w:rsid w:val="008662C9"/>
    <w:rsid w:val="0086710C"/>
    <w:rsid w:val="008677A4"/>
    <w:rsid w:val="00867E1A"/>
    <w:rsid w:val="0087077C"/>
    <w:rsid w:val="00871AD9"/>
    <w:rsid w:val="008736A9"/>
    <w:rsid w:val="00873FE9"/>
    <w:rsid w:val="008747A1"/>
    <w:rsid w:val="00875729"/>
    <w:rsid w:val="0087754F"/>
    <w:rsid w:val="00880654"/>
    <w:rsid w:val="0088066B"/>
    <w:rsid w:val="0088091F"/>
    <w:rsid w:val="008837AB"/>
    <w:rsid w:val="00887B46"/>
    <w:rsid w:val="008908FA"/>
    <w:rsid w:val="00891298"/>
    <w:rsid w:val="00893D79"/>
    <w:rsid w:val="0089421C"/>
    <w:rsid w:val="0089453C"/>
    <w:rsid w:val="008948F8"/>
    <w:rsid w:val="00895C4C"/>
    <w:rsid w:val="0089718C"/>
    <w:rsid w:val="008A139A"/>
    <w:rsid w:val="008A1DA4"/>
    <w:rsid w:val="008A1E5A"/>
    <w:rsid w:val="008A5138"/>
    <w:rsid w:val="008A5FE1"/>
    <w:rsid w:val="008B04E6"/>
    <w:rsid w:val="008B16BC"/>
    <w:rsid w:val="008B21C5"/>
    <w:rsid w:val="008B3688"/>
    <w:rsid w:val="008B4BA7"/>
    <w:rsid w:val="008B51DC"/>
    <w:rsid w:val="008B67EF"/>
    <w:rsid w:val="008B72D5"/>
    <w:rsid w:val="008C0C04"/>
    <w:rsid w:val="008C0EF6"/>
    <w:rsid w:val="008C0F75"/>
    <w:rsid w:val="008C1556"/>
    <w:rsid w:val="008C1927"/>
    <w:rsid w:val="008C2F37"/>
    <w:rsid w:val="008C39D4"/>
    <w:rsid w:val="008C423F"/>
    <w:rsid w:val="008C5C93"/>
    <w:rsid w:val="008C777E"/>
    <w:rsid w:val="008C7E19"/>
    <w:rsid w:val="008C7EA3"/>
    <w:rsid w:val="008D0486"/>
    <w:rsid w:val="008D127C"/>
    <w:rsid w:val="008D16B3"/>
    <w:rsid w:val="008D16DC"/>
    <w:rsid w:val="008D245F"/>
    <w:rsid w:val="008D37B8"/>
    <w:rsid w:val="008D48FF"/>
    <w:rsid w:val="008D4CD1"/>
    <w:rsid w:val="008D59E2"/>
    <w:rsid w:val="008D66EF"/>
    <w:rsid w:val="008D6E49"/>
    <w:rsid w:val="008E0986"/>
    <w:rsid w:val="008E17E0"/>
    <w:rsid w:val="008E427F"/>
    <w:rsid w:val="008E4782"/>
    <w:rsid w:val="008E6BA1"/>
    <w:rsid w:val="008F0F6B"/>
    <w:rsid w:val="008F2049"/>
    <w:rsid w:val="008F272C"/>
    <w:rsid w:val="008F4A45"/>
    <w:rsid w:val="008F61A7"/>
    <w:rsid w:val="009004BE"/>
    <w:rsid w:val="00900AD9"/>
    <w:rsid w:val="0090300F"/>
    <w:rsid w:val="009040EA"/>
    <w:rsid w:val="0090763E"/>
    <w:rsid w:val="009077E9"/>
    <w:rsid w:val="00911FD7"/>
    <w:rsid w:val="0091233E"/>
    <w:rsid w:val="00914915"/>
    <w:rsid w:val="00914A90"/>
    <w:rsid w:val="009151E8"/>
    <w:rsid w:val="0091536E"/>
    <w:rsid w:val="009224F1"/>
    <w:rsid w:val="0092264C"/>
    <w:rsid w:val="0092584A"/>
    <w:rsid w:val="00925F78"/>
    <w:rsid w:val="00930EC0"/>
    <w:rsid w:val="00931B19"/>
    <w:rsid w:val="009336CD"/>
    <w:rsid w:val="0093509E"/>
    <w:rsid w:val="00935481"/>
    <w:rsid w:val="00943A45"/>
    <w:rsid w:val="00944111"/>
    <w:rsid w:val="009447F0"/>
    <w:rsid w:val="0094548B"/>
    <w:rsid w:val="00945F5B"/>
    <w:rsid w:val="00946757"/>
    <w:rsid w:val="00946E15"/>
    <w:rsid w:val="00950558"/>
    <w:rsid w:val="009516D5"/>
    <w:rsid w:val="00952E22"/>
    <w:rsid w:val="00954679"/>
    <w:rsid w:val="00956C82"/>
    <w:rsid w:val="00960362"/>
    <w:rsid w:val="00962E92"/>
    <w:rsid w:val="0096447B"/>
    <w:rsid w:val="00965171"/>
    <w:rsid w:val="0097056C"/>
    <w:rsid w:val="009715D8"/>
    <w:rsid w:val="00971BD4"/>
    <w:rsid w:val="0097225A"/>
    <w:rsid w:val="00972A14"/>
    <w:rsid w:val="00972A6D"/>
    <w:rsid w:val="00974720"/>
    <w:rsid w:val="00975EFB"/>
    <w:rsid w:val="0097706D"/>
    <w:rsid w:val="009810D1"/>
    <w:rsid w:val="00983978"/>
    <w:rsid w:val="009852A1"/>
    <w:rsid w:val="00986A38"/>
    <w:rsid w:val="009904FC"/>
    <w:rsid w:val="0099358A"/>
    <w:rsid w:val="009936DC"/>
    <w:rsid w:val="009940ED"/>
    <w:rsid w:val="00994FC0"/>
    <w:rsid w:val="0099547E"/>
    <w:rsid w:val="0099763F"/>
    <w:rsid w:val="009A158D"/>
    <w:rsid w:val="009A2629"/>
    <w:rsid w:val="009A2CA6"/>
    <w:rsid w:val="009A2F15"/>
    <w:rsid w:val="009A73AB"/>
    <w:rsid w:val="009A7F4C"/>
    <w:rsid w:val="009B0049"/>
    <w:rsid w:val="009B096A"/>
    <w:rsid w:val="009B0B97"/>
    <w:rsid w:val="009B1B2C"/>
    <w:rsid w:val="009B26F7"/>
    <w:rsid w:val="009B3CE3"/>
    <w:rsid w:val="009B4007"/>
    <w:rsid w:val="009B45D4"/>
    <w:rsid w:val="009B5563"/>
    <w:rsid w:val="009B5A93"/>
    <w:rsid w:val="009B6A97"/>
    <w:rsid w:val="009B73E8"/>
    <w:rsid w:val="009C1038"/>
    <w:rsid w:val="009C17B4"/>
    <w:rsid w:val="009C19B1"/>
    <w:rsid w:val="009C2E1A"/>
    <w:rsid w:val="009C6543"/>
    <w:rsid w:val="009C67E7"/>
    <w:rsid w:val="009C6AD1"/>
    <w:rsid w:val="009D2538"/>
    <w:rsid w:val="009D3972"/>
    <w:rsid w:val="009D3B0A"/>
    <w:rsid w:val="009D4642"/>
    <w:rsid w:val="009D4B76"/>
    <w:rsid w:val="009D5CE2"/>
    <w:rsid w:val="009D70AC"/>
    <w:rsid w:val="009D7E69"/>
    <w:rsid w:val="009E089F"/>
    <w:rsid w:val="009E0ADF"/>
    <w:rsid w:val="009E1159"/>
    <w:rsid w:val="009E28E3"/>
    <w:rsid w:val="009E33B1"/>
    <w:rsid w:val="009F03A9"/>
    <w:rsid w:val="009F0A20"/>
    <w:rsid w:val="009F19B2"/>
    <w:rsid w:val="009F1D37"/>
    <w:rsid w:val="009F284E"/>
    <w:rsid w:val="009F2A03"/>
    <w:rsid w:val="009F2CCD"/>
    <w:rsid w:val="009F7098"/>
    <w:rsid w:val="00A00EE1"/>
    <w:rsid w:val="00A02741"/>
    <w:rsid w:val="00A0325C"/>
    <w:rsid w:val="00A03713"/>
    <w:rsid w:val="00A04420"/>
    <w:rsid w:val="00A05364"/>
    <w:rsid w:val="00A0562A"/>
    <w:rsid w:val="00A06C9E"/>
    <w:rsid w:val="00A06EEA"/>
    <w:rsid w:val="00A072B4"/>
    <w:rsid w:val="00A07CAD"/>
    <w:rsid w:val="00A11736"/>
    <w:rsid w:val="00A11C46"/>
    <w:rsid w:val="00A12068"/>
    <w:rsid w:val="00A121CA"/>
    <w:rsid w:val="00A15110"/>
    <w:rsid w:val="00A16193"/>
    <w:rsid w:val="00A20779"/>
    <w:rsid w:val="00A234AE"/>
    <w:rsid w:val="00A24552"/>
    <w:rsid w:val="00A25469"/>
    <w:rsid w:val="00A25823"/>
    <w:rsid w:val="00A267C8"/>
    <w:rsid w:val="00A3204E"/>
    <w:rsid w:val="00A33DF3"/>
    <w:rsid w:val="00A36111"/>
    <w:rsid w:val="00A36534"/>
    <w:rsid w:val="00A376FC"/>
    <w:rsid w:val="00A40038"/>
    <w:rsid w:val="00A40838"/>
    <w:rsid w:val="00A41963"/>
    <w:rsid w:val="00A43CBF"/>
    <w:rsid w:val="00A44104"/>
    <w:rsid w:val="00A4492F"/>
    <w:rsid w:val="00A51D85"/>
    <w:rsid w:val="00A521EB"/>
    <w:rsid w:val="00A524B1"/>
    <w:rsid w:val="00A538FF"/>
    <w:rsid w:val="00A5455B"/>
    <w:rsid w:val="00A55509"/>
    <w:rsid w:val="00A5557D"/>
    <w:rsid w:val="00A561FB"/>
    <w:rsid w:val="00A5630A"/>
    <w:rsid w:val="00A57E4D"/>
    <w:rsid w:val="00A6021D"/>
    <w:rsid w:val="00A61DCE"/>
    <w:rsid w:val="00A623F8"/>
    <w:rsid w:val="00A6475A"/>
    <w:rsid w:val="00A70E64"/>
    <w:rsid w:val="00A71355"/>
    <w:rsid w:val="00A733D1"/>
    <w:rsid w:val="00A7361B"/>
    <w:rsid w:val="00A77B4B"/>
    <w:rsid w:val="00A80B62"/>
    <w:rsid w:val="00A80CDD"/>
    <w:rsid w:val="00A84A84"/>
    <w:rsid w:val="00A860EE"/>
    <w:rsid w:val="00A907A7"/>
    <w:rsid w:val="00A91282"/>
    <w:rsid w:val="00A91559"/>
    <w:rsid w:val="00A94413"/>
    <w:rsid w:val="00A94F18"/>
    <w:rsid w:val="00A94F7F"/>
    <w:rsid w:val="00A96767"/>
    <w:rsid w:val="00A97086"/>
    <w:rsid w:val="00A971BD"/>
    <w:rsid w:val="00A97C5D"/>
    <w:rsid w:val="00AA005D"/>
    <w:rsid w:val="00AA0F8A"/>
    <w:rsid w:val="00AA5BB8"/>
    <w:rsid w:val="00AA5ECF"/>
    <w:rsid w:val="00AB002D"/>
    <w:rsid w:val="00AB0504"/>
    <w:rsid w:val="00AB0BC0"/>
    <w:rsid w:val="00AB1DD9"/>
    <w:rsid w:val="00AB1FB3"/>
    <w:rsid w:val="00AB2562"/>
    <w:rsid w:val="00AB34CA"/>
    <w:rsid w:val="00AB38AA"/>
    <w:rsid w:val="00AB40BA"/>
    <w:rsid w:val="00AB4E0F"/>
    <w:rsid w:val="00AB515A"/>
    <w:rsid w:val="00AC2924"/>
    <w:rsid w:val="00AC3CE6"/>
    <w:rsid w:val="00AC4297"/>
    <w:rsid w:val="00AC4EC6"/>
    <w:rsid w:val="00AC51B2"/>
    <w:rsid w:val="00AC60FB"/>
    <w:rsid w:val="00AC6A41"/>
    <w:rsid w:val="00AC6A5F"/>
    <w:rsid w:val="00AC778D"/>
    <w:rsid w:val="00AD002B"/>
    <w:rsid w:val="00AD009C"/>
    <w:rsid w:val="00AD093D"/>
    <w:rsid w:val="00AD0C62"/>
    <w:rsid w:val="00AD17B8"/>
    <w:rsid w:val="00AD3565"/>
    <w:rsid w:val="00AE0F7D"/>
    <w:rsid w:val="00AE128D"/>
    <w:rsid w:val="00AE140C"/>
    <w:rsid w:val="00AE31C8"/>
    <w:rsid w:val="00AE3243"/>
    <w:rsid w:val="00AE3590"/>
    <w:rsid w:val="00AE4595"/>
    <w:rsid w:val="00AE6060"/>
    <w:rsid w:val="00AE697A"/>
    <w:rsid w:val="00AE7913"/>
    <w:rsid w:val="00AE7ECD"/>
    <w:rsid w:val="00AF2CA1"/>
    <w:rsid w:val="00AF3961"/>
    <w:rsid w:val="00AF4868"/>
    <w:rsid w:val="00AF49EF"/>
    <w:rsid w:val="00AF5E11"/>
    <w:rsid w:val="00AF6798"/>
    <w:rsid w:val="00AF79D2"/>
    <w:rsid w:val="00AF7ACE"/>
    <w:rsid w:val="00B01792"/>
    <w:rsid w:val="00B017EB"/>
    <w:rsid w:val="00B02A03"/>
    <w:rsid w:val="00B0309A"/>
    <w:rsid w:val="00B06329"/>
    <w:rsid w:val="00B076EA"/>
    <w:rsid w:val="00B106B1"/>
    <w:rsid w:val="00B116E4"/>
    <w:rsid w:val="00B119D1"/>
    <w:rsid w:val="00B12240"/>
    <w:rsid w:val="00B13061"/>
    <w:rsid w:val="00B156B7"/>
    <w:rsid w:val="00B158C7"/>
    <w:rsid w:val="00B171D3"/>
    <w:rsid w:val="00B171E6"/>
    <w:rsid w:val="00B173D0"/>
    <w:rsid w:val="00B17EA1"/>
    <w:rsid w:val="00B201BD"/>
    <w:rsid w:val="00B20C2D"/>
    <w:rsid w:val="00B22453"/>
    <w:rsid w:val="00B22E38"/>
    <w:rsid w:val="00B24D02"/>
    <w:rsid w:val="00B26011"/>
    <w:rsid w:val="00B26CAD"/>
    <w:rsid w:val="00B27051"/>
    <w:rsid w:val="00B313A1"/>
    <w:rsid w:val="00B32091"/>
    <w:rsid w:val="00B325CB"/>
    <w:rsid w:val="00B35816"/>
    <w:rsid w:val="00B41232"/>
    <w:rsid w:val="00B41FB7"/>
    <w:rsid w:val="00B42F4A"/>
    <w:rsid w:val="00B4678D"/>
    <w:rsid w:val="00B5106C"/>
    <w:rsid w:val="00B51DF8"/>
    <w:rsid w:val="00B520F5"/>
    <w:rsid w:val="00B52698"/>
    <w:rsid w:val="00B52F27"/>
    <w:rsid w:val="00B577FA"/>
    <w:rsid w:val="00B604FF"/>
    <w:rsid w:val="00B633C9"/>
    <w:rsid w:val="00B63466"/>
    <w:rsid w:val="00B64145"/>
    <w:rsid w:val="00B6497D"/>
    <w:rsid w:val="00B64CFF"/>
    <w:rsid w:val="00B6544E"/>
    <w:rsid w:val="00B65923"/>
    <w:rsid w:val="00B668D2"/>
    <w:rsid w:val="00B70335"/>
    <w:rsid w:val="00B71219"/>
    <w:rsid w:val="00B72354"/>
    <w:rsid w:val="00B73C87"/>
    <w:rsid w:val="00B770D5"/>
    <w:rsid w:val="00B77293"/>
    <w:rsid w:val="00B81D4B"/>
    <w:rsid w:val="00B84524"/>
    <w:rsid w:val="00B8471C"/>
    <w:rsid w:val="00B847AD"/>
    <w:rsid w:val="00B86DC7"/>
    <w:rsid w:val="00B91127"/>
    <w:rsid w:val="00B913B9"/>
    <w:rsid w:val="00B927F5"/>
    <w:rsid w:val="00B9407A"/>
    <w:rsid w:val="00B97123"/>
    <w:rsid w:val="00BA0F13"/>
    <w:rsid w:val="00BA1585"/>
    <w:rsid w:val="00BA4300"/>
    <w:rsid w:val="00BA51F9"/>
    <w:rsid w:val="00BA6FD3"/>
    <w:rsid w:val="00BA726F"/>
    <w:rsid w:val="00BA751C"/>
    <w:rsid w:val="00BB3249"/>
    <w:rsid w:val="00BB576F"/>
    <w:rsid w:val="00BB79B3"/>
    <w:rsid w:val="00BC0435"/>
    <w:rsid w:val="00BC0D5D"/>
    <w:rsid w:val="00BC1DD4"/>
    <w:rsid w:val="00BC2017"/>
    <w:rsid w:val="00BC315B"/>
    <w:rsid w:val="00BC4D52"/>
    <w:rsid w:val="00BC5FAA"/>
    <w:rsid w:val="00BC68CD"/>
    <w:rsid w:val="00BD15F7"/>
    <w:rsid w:val="00BD202B"/>
    <w:rsid w:val="00BD3B2D"/>
    <w:rsid w:val="00BD3BC9"/>
    <w:rsid w:val="00BD42F2"/>
    <w:rsid w:val="00BD6908"/>
    <w:rsid w:val="00BD6AE0"/>
    <w:rsid w:val="00BD7AD5"/>
    <w:rsid w:val="00BE036B"/>
    <w:rsid w:val="00BE25EA"/>
    <w:rsid w:val="00BE3288"/>
    <w:rsid w:val="00BE3C41"/>
    <w:rsid w:val="00BE4419"/>
    <w:rsid w:val="00BE4D0D"/>
    <w:rsid w:val="00BE5A36"/>
    <w:rsid w:val="00BE5CE5"/>
    <w:rsid w:val="00BE6B77"/>
    <w:rsid w:val="00BF1CBF"/>
    <w:rsid w:val="00BF1F74"/>
    <w:rsid w:val="00BF2844"/>
    <w:rsid w:val="00BF3003"/>
    <w:rsid w:val="00BF37B3"/>
    <w:rsid w:val="00BF3C1B"/>
    <w:rsid w:val="00BF624A"/>
    <w:rsid w:val="00BF74A7"/>
    <w:rsid w:val="00BF770C"/>
    <w:rsid w:val="00BF7A64"/>
    <w:rsid w:val="00C02C7D"/>
    <w:rsid w:val="00C03230"/>
    <w:rsid w:val="00C06C26"/>
    <w:rsid w:val="00C0743C"/>
    <w:rsid w:val="00C07486"/>
    <w:rsid w:val="00C10162"/>
    <w:rsid w:val="00C10A22"/>
    <w:rsid w:val="00C11179"/>
    <w:rsid w:val="00C117B1"/>
    <w:rsid w:val="00C12386"/>
    <w:rsid w:val="00C126EB"/>
    <w:rsid w:val="00C132E6"/>
    <w:rsid w:val="00C13580"/>
    <w:rsid w:val="00C15B8C"/>
    <w:rsid w:val="00C15C76"/>
    <w:rsid w:val="00C17BA7"/>
    <w:rsid w:val="00C17CD1"/>
    <w:rsid w:val="00C2008A"/>
    <w:rsid w:val="00C20139"/>
    <w:rsid w:val="00C2120C"/>
    <w:rsid w:val="00C21347"/>
    <w:rsid w:val="00C21DE5"/>
    <w:rsid w:val="00C23A49"/>
    <w:rsid w:val="00C23A9F"/>
    <w:rsid w:val="00C2657A"/>
    <w:rsid w:val="00C26AAD"/>
    <w:rsid w:val="00C26D66"/>
    <w:rsid w:val="00C30344"/>
    <w:rsid w:val="00C31AB7"/>
    <w:rsid w:val="00C32975"/>
    <w:rsid w:val="00C33496"/>
    <w:rsid w:val="00C342FE"/>
    <w:rsid w:val="00C346A6"/>
    <w:rsid w:val="00C40BD8"/>
    <w:rsid w:val="00C42A06"/>
    <w:rsid w:val="00C44E3A"/>
    <w:rsid w:val="00C451F5"/>
    <w:rsid w:val="00C45284"/>
    <w:rsid w:val="00C461A5"/>
    <w:rsid w:val="00C46665"/>
    <w:rsid w:val="00C51C1F"/>
    <w:rsid w:val="00C556B4"/>
    <w:rsid w:val="00C56CBF"/>
    <w:rsid w:val="00C572F3"/>
    <w:rsid w:val="00C613DE"/>
    <w:rsid w:val="00C63178"/>
    <w:rsid w:val="00C65E24"/>
    <w:rsid w:val="00C6686F"/>
    <w:rsid w:val="00C6694F"/>
    <w:rsid w:val="00C6781A"/>
    <w:rsid w:val="00C70944"/>
    <w:rsid w:val="00C70F51"/>
    <w:rsid w:val="00C71751"/>
    <w:rsid w:val="00C726C9"/>
    <w:rsid w:val="00C72A46"/>
    <w:rsid w:val="00C72AE3"/>
    <w:rsid w:val="00C72BD7"/>
    <w:rsid w:val="00C73875"/>
    <w:rsid w:val="00C76B8B"/>
    <w:rsid w:val="00C76C86"/>
    <w:rsid w:val="00C8001E"/>
    <w:rsid w:val="00C81F18"/>
    <w:rsid w:val="00C823BB"/>
    <w:rsid w:val="00C82F0E"/>
    <w:rsid w:val="00C83F89"/>
    <w:rsid w:val="00C8524F"/>
    <w:rsid w:val="00C869B7"/>
    <w:rsid w:val="00C87AC0"/>
    <w:rsid w:val="00C87FB6"/>
    <w:rsid w:val="00C900F4"/>
    <w:rsid w:val="00C90534"/>
    <w:rsid w:val="00C91A7F"/>
    <w:rsid w:val="00C92342"/>
    <w:rsid w:val="00C955EA"/>
    <w:rsid w:val="00C97772"/>
    <w:rsid w:val="00CA2E81"/>
    <w:rsid w:val="00CA370B"/>
    <w:rsid w:val="00CA6169"/>
    <w:rsid w:val="00CA79F5"/>
    <w:rsid w:val="00CB1608"/>
    <w:rsid w:val="00CB4DFB"/>
    <w:rsid w:val="00CB620C"/>
    <w:rsid w:val="00CC0B8A"/>
    <w:rsid w:val="00CC23F4"/>
    <w:rsid w:val="00CC4D7B"/>
    <w:rsid w:val="00CD1C95"/>
    <w:rsid w:val="00CD2006"/>
    <w:rsid w:val="00CD2964"/>
    <w:rsid w:val="00CD570D"/>
    <w:rsid w:val="00CD5A05"/>
    <w:rsid w:val="00CD5E07"/>
    <w:rsid w:val="00CD6E97"/>
    <w:rsid w:val="00CE0606"/>
    <w:rsid w:val="00CE0B08"/>
    <w:rsid w:val="00CE1C94"/>
    <w:rsid w:val="00CE2267"/>
    <w:rsid w:val="00CE2F19"/>
    <w:rsid w:val="00CE32B5"/>
    <w:rsid w:val="00CE35A7"/>
    <w:rsid w:val="00CE4881"/>
    <w:rsid w:val="00CE64A2"/>
    <w:rsid w:val="00CE7909"/>
    <w:rsid w:val="00CF0581"/>
    <w:rsid w:val="00CF0A95"/>
    <w:rsid w:val="00CF0DDE"/>
    <w:rsid w:val="00CF11C3"/>
    <w:rsid w:val="00CF1DA1"/>
    <w:rsid w:val="00CF219C"/>
    <w:rsid w:val="00CF257D"/>
    <w:rsid w:val="00CF42AF"/>
    <w:rsid w:val="00CF542E"/>
    <w:rsid w:val="00CF54F3"/>
    <w:rsid w:val="00CF60E2"/>
    <w:rsid w:val="00CF67A2"/>
    <w:rsid w:val="00CF7F5F"/>
    <w:rsid w:val="00D010C6"/>
    <w:rsid w:val="00D01CB9"/>
    <w:rsid w:val="00D025A9"/>
    <w:rsid w:val="00D03EF1"/>
    <w:rsid w:val="00D05F0F"/>
    <w:rsid w:val="00D10DFD"/>
    <w:rsid w:val="00D13072"/>
    <w:rsid w:val="00D13B48"/>
    <w:rsid w:val="00D15A24"/>
    <w:rsid w:val="00D20894"/>
    <w:rsid w:val="00D22A76"/>
    <w:rsid w:val="00D22EAA"/>
    <w:rsid w:val="00D23B66"/>
    <w:rsid w:val="00D24125"/>
    <w:rsid w:val="00D24560"/>
    <w:rsid w:val="00D246E9"/>
    <w:rsid w:val="00D25332"/>
    <w:rsid w:val="00D261D5"/>
    <w:rsid w:val="00D266F4"/>
    <w:rsid w:val="00D2761B"/>
    <w:rsid w:val="00D33F00"/>
    <w:rsid w:val="00D34A7A"/>
    <w:rsid w:val="00D35C61"/>
    <w:rsid w:val="00D3632A"/>
    <w:rsid w:val="00D36A9D"/>
    <w:rsid w:val="00D36B31"/>
    <w:rsid w:val="00D37165"/>
    <w:rsid w:val="00D37502"/>
    <w:rsid w:val="00D40460"/>
    <w:rsid w:val="00D42D19"/>
    <w:rsid w:val="00D43A43"/>
    <w:rsid w:val="00D47106"/>
    <w:rsid w:val="00D50435"/>
    <w:rsid w:val="00D5169B"/>
    <w:rsid w:val="00D52034"/>
    <w:rsid w:val="00D530ED"/>
    <w:rsid w:val="00D54529"/>
    <w:rsid w:val="00D55FF8"/>
    <w:rsid w:val="00D5730D"/>
    <w:rsid w:val="00D5748C"/>
    <w:rsid w:val="00D63C8C"/>
    <w:rsid w:val="00D66104"/>
    <w:rsid w:val="00D669EF"/>
    <w:rsid w:val="00D67165"/>
    <w:rsid w:val="00D731C8"/>
    <w:rsid w:val="00D747FB"/>
    <w:rsid w:val="00D76323"/>
    <w:rsid w:val="00D76606"/>
    <w:rsid w:val="00D76F70"/>
    <w:rsid w:val="00D7757B"/>
    <w:rsid w:val="00D80064"/>
    <w:rsid w:val="00D80797"/>
    <w:rsid w:val="00D809EE"/>
    <w:rsid w:val="00D81568"/>
    <w:rsid w:val="00D8228C"/>
    <w:rsid w:val="00D8248F"/>
    <w:rsid w:val="00D83F61"/>
    <w:rsid w:val="00D879B1"/>
    <w:rsid w:val="00D92F98"/>
    <w:rsid w:val="00D934E8"/>
    <w:rsid w:val="00D9421E"/>
    <w:rsid w:val="00D95DB8"/>
    <w:rsid w:val="00D97144"/>
    <w:rsid w:val="00D97AC7"/>
    <w:rsid w:val="00DA1951"/>
    <w:rsid w:val="00DA1A41"/>
    <w:rsid w:val="00DA24F1"/>
    <w:rsid w:val="00DA2EE4"/>
    <w:rsid w:val="00DA2FD7"/>
    <w:rsid w:val="00DA4862"/>
    <w:rsid w:val="00DA5848"/>
    <w:rsid w:val="00DA668E"/>
    <w:rsid w:val="00DA67B6"/>
    <w:rsid w:val="00DA6EE6"/>
    <w:rsid w:val="00DB2DCF"/>
    <w:rsid w:val="00DB389F"/>
    <w:rsid w:val="00DB5441"/>
    <w:rsid w:val="00DB5527"/>
    <w:rsid w:val="00DB7DDB"/>
    <w:rsid w:val="00DB7DDE"/>
    <w:rsid w:val="00DC1260"/>
    <w:rsid w:val="00DC204A"/>
    <w:rsid w:val="00DC2772"/>
    <w:rsid w:val="00DC2E8D"/>
    <w:rsid w:val="00DC37B1"/>
    <w:rsid w:val="00DC38D1"/>
    <w:rsid w:val="00DC3A20"/>
    <w:rsid w:val="00DC5517"/>
    <w:rsid w:val="00DC5D74"/>
    <w:rsid w:val="00DC7259"/>
    <w:rsid w:val="00DD0890"/>
    <w:rsid w:val="00DD10C4"/>
    <w:rsid w:val="00DD150B"/>
    <w:rsid w:val="00DD2162"/>
    <w:rsid w:val="00DD23D1"/>
    <w:rsid w:val="00DD2D4A"/>
    <w:rsid w:val="00DD39B0"/>
    <w:rsid w:val="00DD5521"/>
    <w:rsid w:val="00DD715D"/>
    <w:rsid w:val="00DD78F0"/>
    <w:rsid w:val="00DE058F"/>
    <w:rsid w:val="00DE160A"/>
    <w:rsid w:val="00DE243D"/>
    <w:rsid w:val="00DE2D49"/>
    <w:rsid w:val="00DE3A7C"/>
    <w:rsid w:val="00DE3CD4"/>
    <w:rsid w:val="00DE3FF9"/>
    <w:rsid w:val="00DE45A9"/>
    <w:rsid w:val="00DE5CF9"/>
    <w:rsid w:val="00DE6121"/>
    <w:rsid w:val="00DE6EC4"/>
    <w:rsid w:val="00DE78B6"/>
    <w:rsid w:val="00DE7AD6"/>
    <w:rsid w:val="00DF02DE"/>
    <w:rsid w:val="00DF057C"/>
    <w:rsid w:val="00DF06F2"/>
    <w:rsid w:val="00DF2766"/>
    <w:rsid w:val="00DF32CF"/>
    <w:rsid w:val="00DF36A5"/>
    <w:rsid w:val="00DF5721"/>
    <w:rsid w:val="00DF59C6"/>
    <w:rsid w:val="00DF692D"/>
    <w:rsid w:val="00DF6FB6"/>
    <w:rsid w:val="00E003F1"/>
    <w:rsid w:val="00E03113"/>
    <w:rsid w:val="00E0532A"/>
    <w:rsid w:val="00E0620B"/>
    <w:rsid w:val="00E07498"/>
    <w:rsid w:val="00E106DA"/>
    <w:rsid w:val="00E10EE1"/>
    <w:rsid w:val="00E110B7"/>
    <w:rsid w:val="00E1153E"/>
    <w:rsid w:val="00E12231"/>
    <w:rsid w:val="00E12F73"/>
    <w:rsid w:val="00E13106"/>
    <w:rsid w:val="00E1383D"/>
    <w:rsid w:val="00E138AF"/>
    <w:rsid w:val="00E157E0"/>
    <w:rsid w:val="00E15FAD"/>
    <w:rsid w:val="00E16269"/>
    <w:rsid w:val="00E16F61"/>
    <w:rsid w:val="00E1762C"/>
    <w:rsid w:val="00E17C38"/>
    <w:rsid w:val="00E200EF"/>
    <w:rsid w:val="00E203F1"/>
    <w:rsid w:val="00E218E7"/>
    <w:rsid w:val="00E2203E"/>
    <w:rsid w:val="00E22A90"/>
    <w:rsid w:val="00E24CDE"/>
    <w:rsid w:val="00E24F25"/>
    <w:rsid w:val="00E25746"/>
    <w:rsid w:val="00E269B3"/>
    <w:rsid w:val="00E26DCE"/>
    <w:rsid w:val="00E271EC"/>
    <w:rsid w:val="00E27C85"/>
    <w:rsid w:val="00E321B7"/>
    <w:rsid w:val="00E3256B"/>
    <w:rsid w:val="00E32880"/>
    <w:rsid w:val="00E333EC"/>
    <w:rsid w:val="00E33824"/>
    <w:rsid w:val="00E33DFA"/>
    <w:rsid w:val="00E33E0A"/>
    <w:rsid w:val="00E34755"/>
    <w:rsid w:val="00E36306"/>
    <w:rsid w:val="00E365C4"/>
    <w:rsid w:val="00E37122"/>
    <w:rsid w:val="00E37CC3"/>
    <w:rsid w:val="00E37D6B"/>
    <w:rsid w:val="00E400B0"/>
    <w:rsid w:val="00E406A8"/>
    <w:rsid w:val="00E427EE"/>
    <w:rsid w:val="00E4746C"/>
    <w:rsid w:val="00E47616"/>
    <w:rsid w:val="00E47AC1"/>
    <w:rsid w:val="00E54FD0"/>
    <w:rsid w:val="00E567B3"/>
    <w:rsid w:val="00E57763"/>
    <w:rsid w:val="00E60AAF"/>
    <w:rsid w:val="00E63461"/>
    <w:rsid w:val="00E67DCC"/>
    <w:rsid w:val="00E72930"/>
    <w:rsid w:val="00E73EE6"/>
    <w:rsid w:val="00E74EC3"/>
    <w:rsid w:val="00E75CFB"/>
    <w:rsid w:val="00E77002"/>
    <w:rsid w:val="00E77113"/>
    <w:rsid w:val="00E81DD2"/>
    <w:rsid w:val="00E83146"/>
    <w:rsid w:val="00E846A8"/>
    <w:rsid w:val="00E857F1"/>
    <w:rsid w:val="00E86676"/>
    <w:rsid w:val="00E8714A"/>
    <w:rsid w:val="00E87370"/>
    <w:rsid w:val="00E87FD2"/>
    <w:rsid w:val="00E90731"/>
    <w:rsid w:val="00E907C5"/>
    <w:rsid w:val="00E912EE"/>
    <w:rsid w:val="00E9184E"/>
    <w:rsid w:val="00E91F80"/>
    <w:rsid w:val="00E93317"/>
    <w:rsid w:val="00E9355B"/>
    <w:rsid w:val="00E93791"/>
    <w:rsid w:val="00E950BB"/>
    <w:rsid w:val="00E96E11"/>
    <w:rsid w:val="00EA1C45"/>
    <w:rsid w:val="00EA2FFB"/>
    <w:rsid w:val="00EA6307"/>
    <w:rsid w:val="00EA6472"/>
    <w:rsid w:val="00EA65B7"/>
    <w:rsid w:val="00EA6D4E"/>
    <w:rsid w:val="00EA75A0"/>
    <w:rsid w:val="00EB2091"/>
    <w:rsid w:val="00EB2D12"/>
    <w:rsid w:val="00EB38B4"/>
    <w:rsid w:val="00EB3D5B"/>
    <w:rsid w:val="00EB4105"/>
    <w:rsid w:val="00EB4591"/>
    <w:rsid w:val="00EB45CE"/>
    <w:rsid w:val="00EB48D6"/>
    <w:rsid w:val="00EB5AAC"/>
    <w:rsid w:val="00EB6C22"/>
    <w:rsid w:val="00EC0303"/>
    <w:rsid w:val="00EC150C"/>
    <w:rsid w:val="00EC2F6D"/>
    <w:rsid w:val="00EC3E31"/>
    <w:rsid w:val="00EC48D7"/>
    <w:rsid w:val="00EC5699"/>
    <w:rsid w:val="00EC5786"/>
    <w:rsid w:val="00EC58E7"/>
    <w:rsid w:val="00EC683B"/>
    <w:rsid w:val="00EC7426"/>
    <w:rsid w:val="00ED0C5D"/>
    <w:rsid w:val="00ED1103"/>
    <w:rsid w:val="00ED1222"/>
    <w:rsid w:val="00ED4C36"/>
    <w:rsid w:val="00ED63AA"/>
    <w:rsid w:val="00ED6970"/>
    <w:rsid w:val="00EE0D19"/>
    <w:rsid w:val="00EE10E7"/>
    <w:rsid w:val="00EE1ED9"/>
    <w:rsid w:val="00EE275B"/>
    <w:rsid w:val="00EE2D30"/>
    <w:rsid w:val="00EE345C"/>
    <w:rsid w:val="00EE541D"/>
    <w:rsid w:val="00EE68C3"/>
    <w:rsid w:val="00EE6AFF"/>
    <w:rsid w:val="00EF0F4D"/>
    <w:rsid w:val="00EF2B0F"/>
    <w:rsid w:val="00EF2FA9"/>
    <w:rsid w:val="00EF3BE7"/>
    <w:rsid w:val="00EF403F"/>
    <w:rsid w:val="00EF45C0"/>
    <w:rsid w:val="00EF4981"/>
    <w:rsid w:val="00EF5A14"/>
    <w:rsid w:val="00EF5E74"/>
    <w:rsid w:val="00EF7E68"/>
    <w:rsid w:val="00F00513"/>
    <w:rsid w:val="00F007A8"/>
    <w:rsid w:val="00F016A6"/>
    <w:rsid w:val="00F01F44"/>
    <w:rsid w:val="00F0220D"/>
    <w:rsid w:val="00F032FA"/>
    <w:rsid w:val="00F03656"/>
    <w:rsid w:val="00F05D38"/>
    <w:rsid w:val="00F065FF"/>
    <w:rsid w:val="00F120DA"/>
    <w:rsid w:val="00F15874"/>
    <w:rsid w:val="00F17AAC"/>
    <w:rsid w:val="00F17AEE"/>
    <w:rsid w:val="00F208E7"/>
    <w:rsid w:val="00F22411"/>
    <w:rsid w:val="00F22E09"/>
    <w:rsid w:val="00F23AC0"/>
    <w:rsid w:val="00F24021"/>
    <w:rsid w:val="00F24EAB"/>
    <w:rsid w:val="00F2662C"/>
    <w:rsid w:val="00F276A7"/>
    <w:rsid w:val="00F27C0B"/>
    <w:rsid w:val="00F300CD"/>
    <w:rsid w:val="00F313C1"/>
    <w:rsid w:val="00F32C0C"/>
    <w:rsid w:val="00F336A7"/>
    <w:rsid w:val="00F337D7"/>
    <w:rsid w:val="00F33854"/>
    <w:rsid w:val="00F33EE4"/>
    <w:rsid w:val="00F34632"/>
    <w:rsid w:val="00F36033"/>
    <w:rsid w:val="00F36FAD"/>
    <w:rsid w:val="00F3776C"/>
    <w:rsid w:val="00F37F91"/>
    <w:rsid w:val="00F4074C"/>
    <w:rsid w:val="00F41351"/>
    <w:rsid w:val="00F41B04"/>
    <w:rsid w:val="00F42487"/>
    <w:rsid w:val="00F42FE7"/>
    <w:rsid w:val="00F4371E"/>
    <w:rsid w:val="00F4430D"/>
    <w:rsid w:val="00F446FF"/>
    <w:rsid w:val="00F4689F"/>
    <w:rsid w:val="00F47CE5"/>
    <w:rsid w:val="00F5122B"/>
    <w:rsid w:val="00F51727"/>
    <w:rsid w:val="00F53489"/>
    <w:rsid w:val="00F537EF"/>
    <w:rsid w:val="00F53E1C"/>
    <w:rsid w:val="00F541DA"/>
    <w:rsid w:val="00F55603"/>
    <w:rsid w:val="00F63137"/>
    <w:rsid w:val="00F642F9"/>
    <w:rsid w:val="00F65176"/>
    <w:rsid w:val="00F66994"/>
    <w:rsid w:val="00F6717D"/>
    <w:rsid w:val="00F679B8"/>
    <w:rsid w:val="00F67BFE"/>
    <w:rsid w:val="00F70858"/>
    <w:rsid w:val="00F70F57"/>
    <w:rsid w:val="00F7131D"/>
    <w:rsid w:val="00F71843"/>
    <w:rsid w:val="00F718BD"/>
    <w:rsid w:val="00F72792"/>
    <w:rsid w:val="00F72858"/>
    <w:rsid w:val="00F76A5F"/>
    <w:rsid w:val="00F77F9B"/>
    <w:rsid w:val="00F81795"/>
    <w:rsid w:val="00F819EA"/>
    <w:rsid w:val="00F82AB9"/>
    <w:rsid w:val="00F84E16"/>
    <w:rsid w:val="00F852E4"/>
    <w:rsid w:val="00F85F4C"/>
    <w:rsid w:val="00F86937"/>
    <w:rsid w:val="00F86FFB"/>
    <w:rsid w:val="00F8764C"/>
    <w:rsid w:val="00F90196"/>
    <w:rsid w:val="00F90D10"/>
    <w:rsid w:val="00F93EE1"/>
    <w:rsid w:val="00F953BD"/>
    <w:rsid w:val="00F95C00"/>
    <w:rsid w:val="00F96C63"/>
    <w:rsid w:val="00F96C74"/>
    <w:rsid w:val="00F976EF"/>
    <w:rsid w:val="00FA09E0"/>
    <w:rsid w:val="00FA1BE7"/>
    <w:rsid w:val="00FA2635"/>
    <w:rsid w:val="00FA3468"/>
    <w:rsid w:val="00FA3AD5"/>
    <w:rsid w:val="00FA3DA7"/>
    <w:rsid w:val="00FA3FD6"/>
    <w:rsid w:val="00FA491E"/>
    <w:rsid w:val="00FA4F7D"/>
    <w:rsid w:val="00FA56BF"/>
    <w:rsid w:val="00FA7421"/>
    <w:rsid w:val="00FA774F"/>
    <w:rsid w:val="00FB044C"/>
    <w:rsid w:val="00FB0E2E"/>
    <w:rsid w:val="00FB134A"/>
    <w:rsid w:val="00FB1711"/>
    <w:rsid w:val="00FB3A2B"/>
    <w:rsid w:val="00FB4A78"/>
    <w:rsid w:val="00FB71D3"/>
    <w:rsid w:val="00FB7D00"/>
    <w:rsid w:val="00FC0F3C"/>
    <w:rsid w:val="00FC38E0"/>
    <w:rsid w:val="00FC3C48"/>
    <w:rsid w:val="00FC3D7A"/>
    <w:rsid w:val="00FC4196"/>
    <w:rsid w:val="00FC713A"/>
    <w:rsid w:val="00FC73F4"/>
    <w:rsid w:val="00FD14F7"/>
    <w:rsid w:val="00FD21FB"/>
    <w:rsid w:val="00FD2BB2"/>
    <w:rsid w:val="00FD3616"/>
    <w:rsid w:val="00FD433C"/>
    <w:rsid w:val="00FE15AD"/>
    <w:rsid w:val="00FE181E"/>
    <w:rsid w:val="00FE2156"/>
    <w:rsid w:val="00FE2FD0"/>
    <w:rsid w:val="00FE4B50"/>
    <w:rsid w:val="00FE6154"/>
    <w:rsid w:val="00FE7A6D"/>
    <w:rsid w:val="00FF0D87"/>
    <w:rsid w:val="00FF123D"/>
    <w:rsid w:val="00FF173B"/>
    <w:rsid w:val="00FF21B8"/>
    <w:rsid w:val="00FF487B"/>
    <w:rsid w:val="00FF6D29"/>
    <w:rsid w:val="015C6D9C"/>
    <w:rsid w:val="01B92753"/>
    <w:rsid w:val="027A76EE"/>
    <w:rsid w:val="02F717A2"/>
    <w:rsid w:val="03223E90"/>
    <w:rsid w:val="038461F9"/>
    <w:rsid w:val="04175FB8"/>
    <w:rsid w:val="04A549CA"/>
    <w:rsid w:val="04BF5456"/>
    <w:rsid w:val="052E1E30"/>
    <w:rsid w:val="05330AA9"/>
    <w:rsid w:val="05717EA6"/>
    <w:rsid w:val="05B84928"/>
    <w:rsid w:val="05F359D3"/>
    <w:rsid w:val="063F7B21"/>
    <w:rsid w:val="06600C79"/>
    <w:rsid w:val="06C0106C"/>
    <w:rsid w:val="070D3C52"/>
    <w:rsid w:val="07131C49"/>
    <w:rsid w:val="07142F32"/>
    <w:rsid w:val="071450AE"/>
    <w:rsid w:val="071D1D74"/>
    <w:rsid w:val="073D5D97"/>
    <w:rsid w:val="07C00142"/>
    <w:rsid w:val="07CB326A"/>
    <w:rsid w:val="07EE7943"/>
    <w:rsid w:val="081E6C1C"/>
    <w:rsid w:val="08C23B0C"/>
    <w:rsid w:val="098E5710"/>
    <w:rsid w:val="09F619EE"/>
    <w:rsid w:val="0AE40C79"/>
    <w:rsid w:val="0B6029FC"/>
    <w:rsid w:val="0B7101D0"/>
    <w:rsid w:val="0BA70F15"/>
    <w:rsid w:val="0BBE4AEF"/>
    <w:rsid w:val="0BC773B5"/>
    <w:rsid w:val="0C104FD7"/>
    <w:rsid w:val="0C566202"/>
    <w:rsid w:val="0C8825DE"/>
    <w:rsid w:val="0C99119C"/>
    <w:rsid w:val="0D5D665A"/>
    <w:rsid w:val="0DC94723"/>
    <w:rsid w:val="0DDD17FF"/>
    <w:rsid w:val="0E5E7228"/>
    <w:rsid w:val="0E9E4D96"/>
    <w:rsid w:val="0F0E2150"/>
    <w:rsid w:val="0F2F45EE"/>
    <w:rsid w:val="0F6D5FD6"/>
    <w:rsid w:val="0FDE3512"/>
    <w:rsid w:val="0FF154DF"/>
    <w:rsid w:val="1039491D"/>
    <w:rsid w:val="106A638E"/>
    <w:rsid w:val="10AD4F78"/>
    <w:rsid w:val="10C56E9F"/>
    <w:rsid w:val="10CB5819"/>
    <w:rsid w:val="110F115F"/>
    <w:rsid w:val="12094618"/>
    <w:rsid w:val="12535B72"/>
    <w:rsid w:val="12562976"/>
    <w:rsid w:val="12604092"/>
    <w:rsid w:val="12861C28"/>
    <w:rsid w:val="12EA61CA"/>
    <w:rsid w:val="13254BFA"/>
    <w:rsid w:val="13326CC9"/>
    <w:rsid w:val="135F5603"/>
    <w:rsid w:val="137F2274"/>
    <w:rsid w:val="13B32FE7"/>
    <w:rsid w:val="14174645"/>
    <w:rsid w:val="144D4C62"/>
    <w:rsid w:val="15436E6A"/>
    <w:rsid w:val="161508E4"/>
    <w:rsid w:val="1626576B"/>
    <w:rsid w:val="16814A9C"/>
    <w:rsid w:val="169A05ED"/>
    <w:rsid w:val="16A9014A"/>
    <w:rsid w:val="16B47DD3"/>
    <w:rsid w:val="17105CD0"/>
    <w:rsid w:val="17536A1B"/>
    <w:rsid w:val="17727B52"/>
    <w:rsid w:val="179E1BF0"/>
    <w:rsid w:val="17BB3735"/>
    <w:rsid w:val="17E619EC"/>
    <w:rsid w:val="18261657"/>
    <w:rsid w:val="186020B5"/>
    <w:rsid w:val="187C1CA9"/>
    <w:rsid w:val="1882795D"/>
    <w:rsid w:val="188C2522"/>
    <w:rsid w:val="190514CB"/>
    <w:rsid w:val="194A6ECF"/>
    <w:rsid w:val="197F5256"/>
    <w:rsid w:val="19A43456"/>
    <w:rsid w:val="19A72401"/>
    <w:rsid w:val="19EA7247"/>
    <w:rsid w:val="1A243BDE"/>
    <w:rsid w:val="1A5B3E9F"/>
    <w:rsid w:val="1A5F558B"/>
    <w:rsid w:val="1A755A9D"/>
    <w:rsid w:val="1AB4257E"/>
    <w:rsid w:val="1AD80FFE"/>
    <w:rsid w:val="1ADD198D"/>
    <w:rsid w:val="1B927AE6"/>
    <w:rsid w:val="1B9B0671"/>
    <w:rsid w:val="1C0A3FAC"/>
    <w:rsid w:val="1C19283D"/>
    <w:rsid w:val="1D2240C2"/>
    <w:rsid w:val="1D44596E"/>
    <w:rsid w:val="1D55052B"/>
    <w:rsid w:val="1D5E53A0"/>
    <w:rsid w:val="1DEF0C9C"/>
    <w:rsid w:val="1E514E86"/>
    <w:rsid w:val="1E7A01B8"/>
    <w:rsid w:val="1E805C34"/>
    <w:rsid w:val="1F2C0D9B"/>
    <w:rsid w:val="1F734C5E"/>
    <w:rsid w:val="1FF042A0"/>
    <w:rsid w:val="201172B8"/>
    <w:rsid w:val="20AC5ADE"/>
    <w:rsid w:val="20EB475D"/>
    <w:rsid w:val="21086A9D"/>
    <w:rsid w:val="21142961"/>
    <w:rsid w:val="21575393"/>
    <w:rsid w:val="21C24A3A"/>
    <w:rsid w:val="21C565C2"/>
    <w:rsid w:val="22A7294D"/>
    <w:rsid w:val="22CD7F96"/>
    <w:rsid w:val="22DB1F2F"/>
    <w:rsid w:val="23823C30"/>
    <w:rsid w:val="241F4A3C"/>
    <w:rsid w:val="244A4290"/>
    <w:rsid w:val="249A2ED3"/>
    <w:rsid w:val="24E91D73"/>
    <w:rsid w:val="25632256"/>
    <w:rsid w:val="2587096E"/>
    <w:rsid w:val="258E6BE3"/>
    <w:rsid w:val="25AE0F1E"/>
    <w:rsid w:val="26087E29"/>
    <w:rsid w:val="263D534E"/>
    <w:rsid w:val="26C53C3A"/>
    <w:rsid w:val="26FA3EDE"/>
    <w:rsid w:val="270A0C73"/>
    <w:rsid w:val="275D299D"/>
    <w:rsid w:val="27773099"/>
    <w:rsid w:val="280474B7"/>
    <w:rsid w:val="28192B10"/>
    <w:rsid w:val="28325242"/>
    <w:rsid w:val="284E2665"/>
    <w:rsid w:val="2851409A"/>
    <w:rsid w:val="28C23FF9"/>
    <w:rsid w:val="28C45EB7"/>
    <w:rsid w:val="29D76174"/>
    <w:rsid w:val="29D91754"/>
    <w:rsid w:val="2A4F35E0"/>
    <w:rsid w:val="2A4F42F4"/>
    <w:rsid w:val="2ACF53CC"/>
    <w:rsid w:val="2BFF30E6"/>
    <w:rsid w:val="2C03297E"/>
    <w:rsid w:val="2C336ECD"/>
    <w:rsid w:val="2C537E6F"/>
    <w:rsid w:val="2D306898"/>
    <w:rsid w:val="2DF3458A"/>
    <w:rsid w:val="2E0129F5"/>
    <w:rsid w:val="2E2C33A9"/>
    <w:rsid w:val="2E6538E5"/>
    <w:rsid w:val="2EB02340"/>
    <w:rsid w:val="2EB12D20"/>
    <w:rsid w:val="2F4E35E4"/>
    <w:rsid w:val="2F631386"/>
    <w:rsid w:val="2FA44475"/>
    <w:rsid w:val="2FA85358"/>
    <w:rsid w:val="306B4918"/>
    <w:rsid w:val="30817778"/>
    <w:rsid w:val="30D911D6"/>
    <w:rsid w:val="30E65833"/>
    <w:rsid w:val="30F8356E"/>
    <w:rsid w:val="31367A0C"/>
    <w:rsid w:val="31C02E7B"/>
    <w:rsid w:val="31FF3533"/>
    <w:rsid w:val="3205415D"/>
    <w:rsid w:val="32131899"/>
    <w:rsid w:val="322B0B47"/>
    <w:rsid w:val="32304C8C"/>
    <w:rsid w:val="324C1308"/>
    <w:rsid w:val="328B0799"/>
    <w:rsid w:val="32CD6BB0"/>
    <w:rsid w:val="33BE5B56"/>
    <w:rsid w:val="34B3484C"/>
    <w:rsid w:val="35177A5C"/>
    <w:rsid w:val="358856A2"/>
    <w:rsid w:val="35C10BB4"/>
    <w:rsid w:val="35F80E52"/>
    <w:rsid w:val="35FB20B4"/>
    <w:rsid w:val="361219FF"/>
    <w:rsid w:val="36197150"/>
    <w:rsid w:val="36921CBC"/>
    <w:rsid w:val="36D02DE5"/>
    <w:rsid w:val="36E71407"/>
    <w:rsid w:val="3786746C"/>
    <w:rsid w:val="378E37B7"/>
    <w:rsid w:val="380F7B2B"/>
    <w:rsid w:val="386C2AA5"/>
    <w:rsid w:val="388B0F8F"/>
    <w:rsid w:val="389057C2"/>
    <w:rsid w:val="394B71FA"/>
    <w:rsid w:val="394E6C03"/>
    <w:rsid w:val="3972689A"/>
    <w:rsid w:val="39AC56D7"/>
    <w:rsid w:val="3A3A7DEB"/>
    <w:rsid w:val="3A445EE6"/>
    <w:rsid w:val="3A8D216A"/>
    <w:rsid w:val="3AB71DDD"/>
    <w:rsid w:val="3B0E3C49"/>
    <w:rsid w:val="3B160056"/>
    <w:rsid w:val="3BDF41A1"/>
    <w:rsid w:val="3C1978CA"/>
    <w:rsid w:val="3CA70FF1"/>
    <w:rsid w:val="3CBB635D"/>
    <w:rsid w:val="3CED6E06"/>
    <w:rsid w:val="3D2616D6"/>
    <w:rsid w:val="3D6D1374"/>
    <w:rsid w:val="3E0A3E70"/>
    <w:rsid w:val="3E546951"/>
    <w:rsid w:val="3E60628D"/>
    <w:rsid w:val="3EB05C6A"/>
    <w:rsid w:val="3EC06FCC"/>
    <w:rsid w:val="3F840CA4"/>
    <w:rsid w:val="3FA2609A"/>
    <w:rsid w:val="40792E07"/>
    <w:rsid w:val="407C79A6"/>
    <w:rsid w:val="40AB5113"/>
    <w:rsid w:val="40F95252"/>
    <w:rsid w:val="411A3A39"/>
    <w:rsid w:val="41985726"/>
    <w:rsid w:val="41DE717D"/>
    <w:rsid w:val="42443A0E"/>
    <w:rsid w:val="429900CB"/>
    <w:rsid w:val="42A55BE1"/>
    <w:rsid w:val="42D40DC1"/>
    <w:rsid w:val="433F1693"/>
    <w:rsid w:val="44170580"/>
    <w:rsid w:val="441F4150"/>
    <w:rsid w:val="44506726"/>
    <w:rsid w:val="44AC6DC6"/>
    <w:rsid w:val="45A14860"/>
    <w:rsid w:val="45DC6486"/>
    <w:rsid w:val="45DD54B2"/>
    <w:rsid w:val="460B0250"/>
    <w:rsid w:val="462A483D"/>
    <w:rsid w:val="462C62AC"/>
    <w:rsid w:val="46426E4B"/>
    <w:rsid w:val="467031BB"/>
    <w:rsid w:val="477B1AF1"/>
    <w:rsid w:val="487E56AC"/>
    <w:rsid w:val="48C546C6"/>
    <w:rsid w:val="48CE5F34"/>
    <w:rsid w:val="48D1218B"/>
    <w:rsid w:val="490845E3"/>
    <w:rsid w:val="49096422"/>
    <w:rsid w:val="49780F7A"/>
    <w:rsid w:val="4A254D4B"/>
    <w:rsid w:val="4A3227B8"/>
    <w:rsid w:val="4A4644CB"/>
    <w:rsid w:val="4AC247D6"/>
    <w:rsid w:val="4B334F86"/>
    <w:rsid w:val="4B6E7416"/>
    <w:rsid w:val="4B824C4E"/>
    <w:rsid w:val="4C0C0EF3"/>
    <w:rsid w:val="4C1B2975"/>
    <w:rsid w:val="4C7D334A"/>
    <w:rsid w:val="4C875515"/>
    <w:rsid w:val="4CCD68A2"/>
    <w:rsid w:val="4EC56BC8"/>
    <w:rsid w:val="4F4E66E6"/>
    <w:rsid w:val="4FA47125"/>
    <w:rsid w:val="4FAA2BC4"/>
    <w:rsid w:val="4FC07E7A"/>
    <w:rsid w:val="4FCC3524"/>
    <w:rsid w:val="504D04CB"/>
    <w:rsid w:val="50E023DF"/>
    <w:rsid w:val="510065CF"/>
    <w:rsid w:val="518D1268"/>
    <w:rsid w:val="51B2468B"/>
    <w:rsid w:val="51B25589"/>
    <w:rsid w:val="51B97D45"/>
    <w:rsid w:val="51E312BC"/>
    <w:rsid w:val="51E77730"/>
    <w:rsid w:val="522B58DB"/>
    <w:rsid w:val="52585C63"/>
    <w:rsid w:val="526F468F"/>
    <w:rsid w:val="52E37C1E"/>
    <w:rsid w:val="52E56AD3"/>
    <w:rsid w:val="53403BE0"/>
    <w:rsid w:val="53AE3A3F"/>
    <w:rsid w:val="53B261B4"/>
    <w:rsid w:val="53B67E63"/>
    <w:rsid w:val="541E1857"/>
    <w:rsid w:val="5460094C"/>
    <w:rsid w:val="54F0583E"/>
    <w:rsid w:val="5516638C"/>
    <w:rsid w:val="55940116"/>
    <w:rsid w:val="55A41EBE"/>
    <w:rsid w:val="56524203"/>
    <w:rsid w:val="566A3DB1"/>
    <w:rsid w:val="56CA6752"/>
    <w:rsid w:val="56D80E89"/>
    <w:rsid w:val="57310C1E"/>
    <w:rsid w:val="579D753E"/>
    <w:rsid w:val="57A77A14"/>
    <w:rsid w:val="57AA2354"/>
    <w:rsid w:val="58735F03"/>
    <w:rsid w:val="5A364C50"/>
    <w:rsid w:val="5A714D5A"/>
    <w:rsid w:val="5ABF732C"/>
    <w:rsid w:val="5AEC1704"/>
    <w:rsid w:val="5BB07597"/>
    <w:rsid w:val="5C582068"/>
    <w:rsid w:val="5C715FC1"/>
    <w:rsid w:val="5CA30AB0"/>
    <w:rsid w:val="5D1C248F"/>
    <w:rsid w:val="5D236723"/>
    <w:rsid w:val="5D4D3BC9"/>
    <w:rsid w:val="5E0277EB"/>
    <w:rsid w:val="5E546DAA"/>
    <w:rsid w:val="5E5C2D0D"/>
    <w:rsid w:val="5F9D32AC"/>
    <w:rsid w:val="60471F06"/>
    <w:rsid w:val="60683AC6"/>
    <w:rsid w:val="60FE362A"/>
    <w:rsid w:val="61C83B09"/>
    <w:rsid w:val="61D42417"/>
    <w:rsid w:val="61FA6DC8"/>
    <w:rsid w:val="62970FAA"/>
    <w:rsid w:val="62E16003"/>
    <w:rsid w:val="631A0DF2"/>
    <w:rsid w:val="631A1780"/>
    <w:rsid w:val="63A53E2D"/>
    <w:rsid w:val="63B05972"/>
    <w:rsid w:val="63CB0BEE"/>
    <w:rsid w:val="640118D7"/>
    <w:rsid w:val="643F310E"/>
    <w:rsid w:val="647A0544"/>
    <w:rsid w:val="649B70A8"/>
    <w:rsid w:val="64CF2ADF"/>
    <w:rsid w:val="650F7C0B"/>
    <w:rsid w:val="653F52E7"/>
    <w:rsid w:val="656203C9"/>
    <w:rsid w:val="663229C4"/>
    <w:rsid w:val="66AF6ADB"/>
    <w:rsid w:val="66E33C97"/>
    <w:rsid w:val="675843DE"/>
    <w:rsid w:val="67B233ED"/>
    <w:rsid w:val="681B4411"/>
    <w:rsid w:val="68533A19"/>
    <w:rsid w:val="68C32E0A"/>
    <w:rsid w:val="68C42F08"/>
    <w:rsid w:val="69135B7E"/>
    <w:rsid w:val="692C5013"/>
    <w:rsid w:val="69E3155C"/>
    <w:rsid w:val="6A354767"/>
    <w:rsid w:val="6A832F9A"/>
    <w:rsid w:val="6AAC19B2"/>
    <w:rsid w:val="6AAE705C"/>
    <w:rsid w:val="6ABD2AFF"/>
    <w:rsid w:val="6ACD532A"/>
    <w:rsid w:val="6B0A48A0"/>
    <w:rsid w:val="6B4A6413"/>
    <w:rsid w:val="6B985938"/>
    <w:rsid w:val="6BD821D8"/>
    <w:rsid w:val="6BDA3437"/>
    <w:rsid w:val="6BE75CC1"/>
    <w:rsid w:val="6BEE57BF"/>
    <w:rsid w:val="6C236DD5"/>
    <w:rsid w:val="6CAE2730"/>
    <w:rsid w:val="6CF15624"/>
    <w:rsid w:val="6D3A0C03"/>
    <w:rsid w:val="6DB77697"/>
    <w:rsid w:val="6E2412D8"/>
    <w:rsid w:val="6E42533A"/>
    <w:rsid w:val="6F0A7B0F"/>
    <w:rsid w:val="6F1878C8"/>
    <w:rsid w:val="6F5F5F29"/>
    <w:rsid w:val="6FFE1AE2"/>
    <w:rsid w:val="700F101B"/>
    <w:rsid w:val="704E54F3"/>
    <w:rsid w:val="70603F00"/>
    <w:rsid w:val="70635EFE"/>
    <w:rsid w:val="70751DB3"/>
    <w:rsid w:val="70913D12"/>
    <w:rsid w:val="7139178D"/>
    <w:rsid w:val="714257FE"/>
    <w:rsid w:val="71CD7CB7"/>
    <w:rsid w:val="72071122"/>
    <w:rsid w:val="72182725"/>
    <w:rsid w:val="726675A6"/>
    <w:rsid w:val="729218D8"/>
    <w:rsid w:val="72AD1C3D"/>
    <w:rsid w:val="735375C4"/>
    <w:rsid w:val="73D153AE"/>
    <w:rsid w:val="73DE5DB8"/>
    <w:rsid w:val="73E21F9D"/>
    <w:rsid w:val="74380B22"/>
    <w:rsid w:val="751A59F8"/>
    <w:rsid w:val="753E02ED"/>
    <w:rsid w:val="757D63A1"/>
    <w:rsid w:val="75A35F5D"/>
    <w:rsid w:val="768D4A40"/>
    <w:rsid w:val="77366005"/>
    <w:rsid w:val="77A65E50"/>
    <w:rsid w:val="77E848AC"/>
    <w:rsid w:val="77FD77E1"/>
    <w:rsid w:val="780629EF"/>
    <w:rsid w:val="78CF3C89"/>
    <w:rsid w:val="78D95495"/>
    <w:rsid w:val="78F242E1"/>
    <w:rsid w:val="78F5009A"/>
    <w:rsid w:val="79823CBD"/>
    <w:rsid w:val="79A07DE2"/>
    <w:rsid w:val="79F15F2F"/>
    <w:rsid w:val="7A1A1C0E"/>
    <w:rsid w:val="7A470B36"/>
    <w:rsid w:val="7AA2428B"/>
    <w:rsid w:val="7ADF7C72"/>
    <w:rsid w:val="7B4935D0"/>
    <w:rsid w:val="7B525444"/>
    <w:rsid w:val="7C033C6D"/>
    <w:rsid w:val="7C396AAF"/>
    <w:rsid w:val="7C407714"/>
    <w:rsid w:val="7D491949"/>
    <w:rsid w:val="7D7E23E2"/>
    <w:rsid w:val="7DB67C2B"/>
    <w:rsid w:val="7E8070E6"/>
    <w:rsid w:val="7ED86AB8"/>
    <w:rsid w:val="7F3431BA"/>
    <w:rsid w:val="7F736048"/>
    <w:rsid w:val="7F9622D7"/>
    <w:rsid w:val="7FEB75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8"/>
    <w:qFormat/>
    <w:uiPriority w:val="0"/>
    <w:pPr>
      <w:keepNext/>
      <w:numPr>
        <w:ilvl w:val="0"/>
        <w:numId w:val="1"/>
      </w:numPr>
      <w:spacing w:before="60" w:after="60" w:line="400" w:lineRule="exact"/>
      <w:ind w:left="641" w:right="113" w:hanging="431"/>
      <w:jc w:val="left"/>
      <w:outlineLvl w:val="0"/>
    </w:pPr>
    <w:rPr>
      <w:rFonts w:ascii="Arial" w:hAnsi="Arial" w:eastAsia="宋体" w:cs="Times New Roman"/>
      <w:b/>
      <w:sz w:val="24"/>
      <w:szCs w:val="20"/>
    </w:rPr>
  </w:style>
  <w:style w:type="paragraph" w:styleId="5">
    <w:name w:val="heading 2"/>
    <w:basedOn w:val="1"/>
    <w:next w:val="1"/>
    <w:link w:val="39"/>
    <w:qFormat/>
    <w:uiPriority w:val="0"/>
    <w:pPr>
      <w:keepNext/>
      <w:numPr>
        <w:ilvl w:val="1"/>
        <w:numId w:val="1"/>
      </w:numPr>
      <w:spacing w:before="60" w:after="60" w:line="400" w:lineRule="exact"/>
      <w:jc w:val="left"/>
      <w:outlineLvl w:val="1"/>
    </w:pPr>
    <w:rPr>
      <w:rFonts w:ascii="Arial" w:hAnsi="Arial" w:eastAsia="宋体" w:cs="Times New Roman"/>
      <w:b/>
      <w:sz w:val="24"/>
      <w:szCs w:val="20"/>
    </w:rPr>
  </w:style>
  <w:style w:type="paragraph" w:styleId="6">
    <w:name w:val="heading 3"/>
    <w:basedOn w:val="1"/>
    <w:next w:val="1"/>
    <w:link w:val="40"/>
    <w:qFormat/>
    <w:uiPriority w:val="0"/>
    <w:pPr>
      <w:keepNext/>
      <w:numPr>
        <w:ilvl w:val="2"/>
        <w:numId w:val="1"/>
      </w:numPr>
      <w:adjustRightInd w:val="0"/>
      <w:snapToGrid w:val="0"/>
      <w:spacing w:before="60" w:after="60" w:line="400" w:lineRule="atLeast"/>
      <w:jc w:val="left"/>
      <w:outlineLvl w:val="2"/>
    </w:pPr>
    <w:rPr>
      <w:rFonts w:ascii="Arial" w:hAnsi="Arial" w:eastAsia="宋体" w:cs="Arial"/>
      <w:b/>
      <w:sz w:val="24"/>
      <w:szCs w:val="20"/>
    </w:rPr>
  </w:style>
  <w:style w:type="paragraph" w:styleId="7">
    <w:name w:val="heading 4"/>
    <w:basedOn w:val="1"/>
    <w:next w:val="1"/>
    <w:link w:val="41"/>
    <w:qFormat/>
    <w:uiPriority w:val="0"/>
    <w:pPr>
      <w:keepNext/>
      <w:numPr>
        <w:ilvl w:val="3"/>
        <w:numId w:val="1"/>
      </w:numPr>
      <w:shd w:val="clear" w:color="auto" w:fill="FFFFFF"/>
      <w:spacing w:before="60" w:after="60" w:line="400" w:lineRule="exact"/>
      <w:jc w:val="left"/>
      <w:outlineLvl w:val="3"/>
    </w:pPr>
    <w:rPr>
      <w:rFonts w:ascii="Arial" w:hAnsi="Arial" w:eastAsia="宋体" w:cs="Arial"/>
      <w:b/>
      <w:sz w:val="24"/>
      <w:szCs w:val="20"/>
    </w:rPr>
  </w:style>
  <w:style w:type="paragraph" w:styleId="8">
    <w:name w:val="heading 5"/>
    <w:basedOn w:val="1"/>
    <w:next w:val="1"/>
    <w:link w:val="42"/>
    <w:qFormat/>
    <w:uiPriority w:val="0"/>
    <w:pPr>
      <w:keepNext/>
      <w:numPr>
        <w:ilvl w:val="4"/>
        <w:numId w:val="1"/>
      </w:numPr>
      <w:shd w:val="pct10" w:color="FFFFFF" w:fill="FFFFFF"/>
      <w:adjustRightInd w:val="0"/>
      <w:snapToGrid w:val="0"/>
      <w:spacing w:before="60" w:after="60" w:line="400" w:lineRule="atLeast"/>
      <w:outlineLvl w:val="4"/>
    </w:pPr>
    <w:rPr>
      <w:rFonts w:ascii="Arial" w:hAnsi="Arial" w:eastAsia="宋体" w:cs="Times New Roman"/>
      <w:b/>
      <w:sz w:val="24"/>
      <w:szCs w:val="20"/>
    </w:rPr>
  </w:style>
  <w:style w:type="paragraph" w:styleId="9">
    <w:name w:val="heading 6"/>
    <w:basedOn w:val="1"/>
    <w:next w:val="1"/>
    <w:link w:val="43"/>
    <w:qFormat/>
    <w:uiPriority w:val="0"/>
    <w:pPr>
      <w:widowControl/>
      <w:numPr>
        <w:ilvl w:val="5"/>
        <w:numId w:val="1"/>
      </w:numPr>
      <w:overflowPunct w:val="0"/>
      <w:autoSpaceDE w:val="0"/>
      <w:autoSpaceDN w:val="0"/>
      <w:spacing w:before="60" w:after="60" w:line="400" w:lineRule="atLeast"/>
      <w:ind w:left="1361" w:hanging="1151"/>
      <w:jc w:val="left"/>
      <w:outlineLvl w:val="5"/>
    </w:pPr>
    <w:rPr>
      <w:rFonts w:ascii="Arial" w:hAnsi="Arial" w:eastAsia="宋体" w:cs="Times New Roman"/>
      <w:b/>
      <w:kern w:val="0"/>
      <w:sz w:val="24"/>
      <w:szCs w:val="20"/>
      <w:lang w:val="en-GB"/>
    </w:rPr>
  </w:style>
  <w:style w:type="paragraph" w:styleId="10">
    <w:name w:val="heading 7"/>
    <w:basedOn w:val="1"/>
    <w:next w:val="1"/>
    <w:link w:val="44"/>
    <w:qFormat/>
    <w:uiPriority w:val="0"/>
    <w:pPr>
      <w:widowControl/>
      <w:numPr>
        <w:ilvl w:val="6"/>
        <w:numId w:val="1"/>
      </w:numPr>
      <w:overflowPunct w:val="0"/>
      <w:autoSpaceDE w:val="0"/>
      <w:autoSpaceDN w:val="0"/>
      <w:adjustRightInd w:val="0"/>
      <w:spacing w:before="240" w:after="60"/>
      <w:jc w:val="left"/>
      <w:outlineLvl w:val="6"/>
    </w:pPr>
    <w:rPr>
      <w:rFonts w:ascii="Arial" w:hAnsi="Arial" w:eastAsia="宋体" w:cs="Times New Roman"/>
      <w:kern w:val="0"/>
      <w:sz w:val="24"/>
      <w:szCs w:val="20"/>
      <w:lang w:val="en-GB"/>
    </w:rPr>
  </w:style>
  <w:style w:type="paragraph" w:styleId="11">
    <w:name w:val="heading 8"/>
    <w:basedOn w:val="1"/>
    <w:next w:val="1"/>
    <w:link w:val="45"/>
    <w:qFormat/>
    <w:uiPriority w:val="0"/>
    <w:pPr>
      <w:widowControl/>
      <w:numPr>
        <w:ilvl w:val="7"/>
        <w:numId w:val="1"/>
      </w:numPr>
      <w:overflowPunct w:val="0"/>
      <w:autoSpaceDE w:val="0"/>
      <w:autoSpaceDN w:val="0"/>
      <w:adjustRightInd w:val="0"/>
      <w:spacing w:before="240" w:after="60"/>
      <w:jc w:val="left"/>
      <w:outlineLvl w:val="7"/>
    </w:pPr>
    <w:rPr>
      <w:rFonts w:ascii="Arial" w:hAnsi="Arial" w:eastAsia="宋体" w:cs="Times New Roman"/>
      <w:i/>
      <w:kern w:val="0"/>
      <w:sz w:val="24"/>
      <w:szCs w:val="20"/>
      <w:lang w:val="en-GB"/>
    </w:rPr>
  </w:style>
  <w:style w:type="paragraph" w:styleId="12">
    <w:name w:val="heading 9"/>
    <w:basedOn w:val="1"/>
    <w:next w:val="1"/>
    <w:link w:val="46"/>
    <w:qFormat/>
    <w:uiPriority w:val="0"/>
    <w:pPr>
      <w:widowControl/>
      <w:numPr>
        <w:ilvl w:val="8"/>
        <w:numId w:val="1"/>
      </w:numPr>
      <w:overflowPunct w:val="0"/>
      <w:autoSpaceDE w:val="0"/>
      <w:autoSpaceDN w:val="0"/>
      <w:adjustRightInd w:val="0"/>
      <w:spacing w:before="240" w:after="60"/>
      <w:jc w:val="left"/>
      <w:outlineLvl w:val="8"/>
    </w:pPr>
    <w:rPr>
      <w:rFonts w:ascii="Arial" w:hAnsi="Arial" w:eastAsia="宋体" w:cs="Times New Roman"/>
      <w:i/>
      <w:kern w:val="0"/>
      <w:sz w:val="18"/>
      <w:szCs w:val="20"/>
      <w:lang w:val="en-GB"/>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ind w:firstLine="538" w:firstLineChars="192"/>
    </w:pPr>
    <w:rPr>
      <w:rFonts w:eastAsia="楷体_GB2312"/>
    </w:rPr>
  </w:style>
  <w:style w:type="paragraph" w:styleId="13">
    <w:name w:val="Normal Indent"/>
    <w:basedOn w:val="1"/>
    <w:qFormat/>
    <w:uiPriority w:val="0"/>
    <w:pPr>
      <w:ind w:firstLine="420"/>
    </w:pPr>
    <w:rPr>
      <w:kern w:val="1"/>
      <w:szCs w:val="20"/>
    </w:rPr>
  </w:style>
  <w:style w:type="paragraph" w:styleId="14">
    <w:name w:val="annotation text"/>
    <w:basedOn w:val="1"/>
    <w:link w:val="52"/>
    <w:semiHidden/>
    <w:unhideWhenUsed/>
    <w:qFormat/>
    <w:uiPriority w:val="99"/>
    <w:pPr>
      <w:jc w:val="left"/>
    </w:pPr>
  </w:style>
  <w:style w:type="paragraph" w:styleId="15">
    <w:name w:val="Body Text"/>
    <w:basedOn w:val="1"/>
    <w:next w:val="16"/>
    <w:link w:val="35"/>
    <w:unhideWhenUsed/>
    <w:qFormat/>
    <w:uiPriority w:val="0"/>
    <w:pPr>
      <w:spacing w:after="120"/>
    </w:pPr>
    <w:rPr>
      <w:rFonts w:ascii="Times New Roman" w:hAnsi="Times New Roman" w:eastAsia="宋体" w:cs="Times New Roman"/>
      <w:szCs w:val="20"/>
    </w:rPr>
  </w:style>
  <w:style w:type="paragraph" w:styleId="16">
    <w:name w:val="Body Text 2"/>
    <w:basedOn w:val="1"/>
    <w:qFormat/>
    <w:uiPriority w:val="0"/>
    <w:pPr>
      <w:jc w:val="center"/>
    </w:pPr>
    <w:rPr>
      <w:rFonts w:ascii="宋体" w:hAnsi="宋体"/>
      <w:kern w:val="0"/>
      <w:sz w:val="20"/>
      <w:szCs w:val="20"/>
    </w:rPr>
  </w:style>
  <w:style w:type="paragraph" w:styleId="17">
    <w:name w:val="toc 3"/>
    <w:basedOn w:val="1"/>
    <w:next w:val="1"/>
    <w:semiHidden/>
    <w:unhideWhenUsed/>
    <w:qFormat/>
    <w:uiPriority w:val="39"/>
    <w:pPr>
      <w:widowControl/>
      <w:spacing w:after="100" w:line="276" w:lineRule="auto"/>
      <w:ind w:left="440"/>
      <w:jc w:val="left"/>
    </w:pPr>
    <w:rPr>
      <w:kern w:val="0"/>
      <w:sz w:val="22"/>
    </w:rPr>
  </w:style>
  <w:style w:type="paragraph" w:styleId="18">
    <w:name w:val="Balloon Text"/>
    <w:basedOn w:val="1"/>
    <w:link w:val="49"/>
    <w:semiHidden/>
    <w:unhideWhenUsed/>
    <w:qFormat/>
    <w:uiPriority w:val="99"/>
    <w:rPr>
      <w:sz w:val="18"/>
      <w:szCs w:val="18"/>
    </w:rPr>
  </w:style>
  <w:style w:type="paragraph" w:styleId="19">
    <w:name w:val="footer"/>
    <w:basedOn w:val="1"/>
    <w:link w:val="37"/>
    <w:unhideWhenUsed/>
    <w:qFormat/>
    <w:uiPriority w:val="99"/>
    <w:pPr>
      <w:tabs>
        <w:tab w:val="center" w:pos="4153"/>
        <w:tab w:val="right" w:pos="8306"/>
      </w:tabs>
      <w:snapToGrid w:val="0"/>
      <w:jc w:val="left"/>
    </w:pPr>
    <w:rPr>
      <w:sz w:val="18"/>
      <w:szCs w:val="18"/>
    </w:rPr>
  </w:style>
  <w:style w:type="paragraph" w:styleId="20">
    <w:name w:val="header"/>
    <w:basedOn w:val="1"/>
    <w:link w:val="36"/>
    <w:unhideWhenUsed/>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widowControl/>
      <w:tabs>
        <w:tab w:val="right" w:leader="dot" w:pos="8494"/>
      </w:tabs>
      <w:spacing w:after="100" w:line="276" w:lineRule="auto"/>
      <w:jc w:val="left"/>
    </w:pPr>
    <w:rPr>
      <w:rFonts w:ascii="仿宋" w:hAnsi="仿宋" w:eastAsia="仿宋"/>
      <w:b/>
      <w:kern w:val="0"/>
      <w:sz w:val="28"/>
      <w:szCs w:val="28"/>
    </w:rPr>
  </w:style>
  <w:style w:type="paragraph" w:styleId="22">
    <w:name w:val="Subtitle"/>
    <w:basedOn w:val="1"/>
    <w:next w:val="1"/>
    <w:link w:val="48"/>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3">
    <w:name w:val="toc 2"/>
    <w:basedOn w:val="1"/>
    <w:next w:val="1"/>
    <w:unhideWhenUsed/>
    <w:qFormat/>
    <w:uiPriority w:val="39"/>
    <w:pPr>
      <w:widowControl/>
      <w:spacing w:after="100" w:line="276" w:lineRule="auto"/>
      <w:ind w:left="220"/>
      <w:jc w:val="left"/>
    </w:pPr>
    <w:rPr>
      <w:kern w:val="0"/>
      <w:sz w:val="22"/>
    </w:rPr>
  </w:style>
  <w:style w:type="paragraph" w:styleId="24">
    <w:name w:val="Normal (Web)"/>
    <w:basedOn w:val="1"/>
    <w:qFormat/>
    <w:uiPriority w:val="99"/>
    <w:pPr>
      <w:widowControl/>
      <w:spacing w:before="100" w:beforeAutospacing="1" w:after="100" w:afterAutospacing="1"/>
      <w:jc w:val="left"/>
    </w:pPr>
    <w:rPr>
      <w:rFonts w:ascii="宋体" w:hAnsi="宋体" w:eastAsia="宋体" w:cs="Times New Roman"/>
      <w:color w:val="000000"/>
      <w:kern w:val="0"/>
      <w:sz w:val="24"/>
      <w:szCs w:val="24"/>
    </w:rPr>
  </w:style>
  <w:style w:type="paragraph" w:styleId="25">
    <w:name w:val="Title"/>
    <w:basedOn w:val="1"/>
    <w:next w:val="1"/>
    <w:link w:val="47"/>
    <w:qFormat/>
    <w:uiPriority w:val="10"/>
    <w:pPr>
      <w:spacing w:before="240" w:after="60"/>
      <w:jc w:val="center"/>
      <w:outlineLvl w:val="0"/>
    </w:pPr>
    <w:rPr>
      <w:rFonts w:eastAsia="宋体" w:asciiTheme="majorHAnsi" w:hAnsiTheme="majorHAnsi" w:cstheme="majorBidi"/>
      <w:b/>
      <w:bCs/>
      <w:sz w:val="32"/>
      <w:szCs w:val="32"/>
    </w:rPr>
  </w:style>
  <w:style w:type="paragraph" w:styleId="26">
    <w:name w:val="annotation subject"/>
    <w:basedOn w:val="14"/>
    <w:next w:val="14"/>
    <w:link w:val="53"/>
    <w:semiHidden/>
    <w:unhideWhenUsed/>
    <w:qFormat/>
    <w:uiPriority w:val="99"/>
    <w:rPr>
      <w:b/>
      <w:bCs/>
    </w:rPr>
  </w:style>
  <w:style w:type="paragraph" w:styleId="27">
    <w:name w:val="Body Text First Indent"/>
    <w:basedOn w:val="15"/>
    <w:next w:val="1"/>
    <w:qFormat/>
    <w:uiPriority w:val="0"/>
    <w:pPr>
      <w:spacing w:line="312" w:lineRule="auto"/>
      <w:ind w:firstLine="420"/>
    </w:pPr>
    <w:rPr>
      <w:sz w:val="24"/>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FollowedHyperlink"/>
    <w:basedOn w:val="30"/>
    <w:semiHidden/>
    <w:unhideWhenUsed/>
    <w:qFormat/>
    <w:uiPriority w:val="99"/>
    <w:rPr>
      <w:color w:val="800080" w:themeColor="followedHyperlink"/>
      <w:u w:val="single"/>
    </w:rPr>
  </w:style>
  <w:style w:type="character" w:styleId="32">
    <w:name w:val="Hyperlink"/>
    <w:basedOn w:val="30"/>
    <w:unhideWhenUsed/>
    <w:qFormat/>
    <w:uiPriority w:val="99"/>
    <w:rPr>
      <w:color w:val="0000FF" w:themeColor="hyperlink"/>
      <w:u w:val="single"/>
    </w:rPr>
  </w:style>
  <w:style w:type="character" w:styleId="33">
    <w:name w:val="annotation reference"/>
    <w:basedOn w:val="30"/>
    <w:semiHidden/>
    <w:unhideWhenUsed/>
    <w:qFormat/>
    <w:uiPriority w:val="99"/>
    <w:rPr>
      <w:sz w:val="21"/>
      <w:szCs w:val="21"/>
    </w:rPr>
  </w:style>
  <w:style w:type="paragraph" w:styleId="34">
    <w:name w:val="List Paragraph"/>
    <w:basedOn w:val="1"/>
    <w:qFormat/>
    <w:uiPriority w:val="34"/>
    <w:pPr>
      <w:ind w:firstLine="420" w:firstLineChars="200"/>
    </w:pPr>
  </w:style>
  <w:style w:type="character" w:customStyle="1" w:styleId="35">
    <w:name w:val="正文文本 Char"/>
    <w:basedOn w:val="30"/>
    <w:link w:val="15"/>
    <w:qFormat/>
    <w:uiPriority w:val="99"/>
    <w:rPr>
      <w:rFonts w:ascii="Times New Roman" w:hAnsi="Times New Roman" w:eastAsia="宋体" w:cs="Times New Roman"/>
      <w:szCs w:val="20"/>
    </w:rPr>
  </w:style>
  <w:style w:type="character" w:customStyle="1" w:styleId="36">
    <w:name w:val="页眉 Char"/>
    <w:basedOn w:val="30"/>
    <w:link w:val="20"/>
    <w:qFormat/>
    <w:uiPriority w:val="0"/>
    <w:rPr>
      <w:sz w:val="18"/>
      <w:szCs w:val="18"/>
    </w:rPr>
  </w:style>
  <w:style w:type="character" w:customStyle="1" w:styleId="37">
    <w:name w:val="页脚 Char"/>
    <w:basedOn w:val="30"/>
    <w:link w:val="19"/>
    <w:qFormat/>
    <w:uiPriority w:val="99"/>
    <w:rPr>
      <w:sz w:val="18"/>
      <w:szCs w:val="18"/>
    </w:rPr>
  </w:style>
  <w:style w:type="character" w:customStyle="1" w:styleId="38">
    <w:name w:val="标题 1 Char"/>
    <w:basedOn w:val="30"/>
    <w:link w:val="4"/>
    <w:qFormat/>
    <w:uiPriority w:val="0"/>
    <w:rPr>
      <w:rFonts w:ascii="Arial" w:hAnsi="Arial" w:eastAsia="宋体" w:cs="Times New Roman"/>
      <w:b/>
      <w:sz w:val="24"/>
      <w:szCs w:val="20"/>
    </w:rPr>
  </w:style>
  <w:style w:type="character" w:customStyle="1" w:styleId="39">
    <w:name w:val="标题 2 Char"/>
    <w:basedOn w:val="30"/>
    <w:link w:val="5"/>
    <w:qFormat/>
    <w:uiPriority w:val="0"/>
    <w:rPr>
      <w:rFonts w:ascii="Arial" w:hAnsi="Arial" w:eastAsia="宋体" w:cs="Times New Roman"/>
      <w:b/>
      <w:sz w:val="24"/>
      <w:szCs w:val="20"/>
    </w:rPr>
  </w:style>
  <w:style w:type="character" w:customStyle="1" w:styleId="40">
    <w:name w:val="标题 3 Char"/>
    <w:basedOn w:val="30"/>
    <w:link w:val="6"/>
    <w:qFormat/>
    <w:uiPriority w:val="0"/>
    <w:rPr>
      <w:rFonts w:ascii="Arial" w:hAnsi="Arial" w:eastAsia="宋体" w:cs="Arial"/>
      <w:b/>
      <w:sz w:val="24"/>
      <w:szCs w:val="20"/>
    </w:rPr>
  </w:style>
  <w:style w:type="character" w:customStyle="1" w:styleId="41">
    <w:name w:val="标题 4 Char"/>
    <w:basedOn w:val="30"/>
    <w:link w:val="7"/>
    <w:qFormat/>
    <w:uiPriority w:val="0"/>
    <w:rPr>
      <w:rFonts w:ascii="Arial" w:hAnsi="Arial" w:eastAsia="宋体" w:cs="Arial"/>
      <w:b/>
      <w:sz w:val="24"/>
      <w:szCs w:val="20"/>
      <w:shd w:val="clear" w:color="auto" w:fill="FFFFFF"/>
    </w:rPr>
  </w:style>
  <w:style w:type="character" w:customStyle="1" w:styleId="42">
    <w:name w:val="标题 5 Char"/>
    <w:basedOn w:val="30"/>
    <w:link w:val="8"/>
    <w:qFormat/>
    <w:uiPriority w:val="0"/>
    <w:rPr>
      <w:rFonts w:ascii="Arial" w:hAnsi="Arial" w:eastAsia="宋体" w:cs="Times New Roman"/>
      <w:b/>
      <w:sz w:val="24"/>
      <w:szCs w:val="20"/>
      <w:shd w:val="pct10" w:color="FFFFFF" w:fill="FFFFFF"/>
    </w:rPr>
  </w:style>
  <w:style w:type="character" w:customStyle="1" w:styleId="43">
    <w:name w:val="标题 6 Char"/>
    <w:basedOn w:val="30"/>
    <w:link w:val="9"/>
    <w:qFormat/>
    <w:uiPriority w:val="0"/>
    <w:rPr>
      <w:rFonts w:ascii="Arial" w:hAnsi="Arial" w:eastAsia="宋体" w:cs="Times New Roman"/>
      <w:b/>
      <w:kern w:val="0"/>
      <w:sz w:val="24"/>
      <w:szCs w:val="20"/>
      <w:lang w:val="en-GB"/>
    </w:rPr>
  </w:style>
  <w:style w:type="character" w:customStyle="1" w:styleId="44">
    <w:name w:val="标题 7 Char"/>
    <w:basedOn w:val="30"/>
    <w:link w:val="10"/>
    <w:qFormat/>
    <w:uiPriority w:val="0"/>
    <w:rPr>
      <w:rFonts w:ascii="Arial" w:hAnsi="Arial" w:eastAsia="宋体" w:cs="Times New Roman"/>
      <w:kern w:val="0"/>
      <w:sz w:val="24"/>
      <w:szCs w:val="20"/>
      <w:lang w:val="en-GB"/>
    </w:rPr>
  </w:style>
  <w:style w:type="character" w:customStyle="1" w:styleId="45">
    <w:name w:val="标题 8 Char"/>
    <w:basedOn w:val="30"/>
    <w:link w:val="11"/>
    <w:qFormat/>
    <w:uiPriority w:val="0"/>
    <w:rPr>
      <w:rFonts w:ascii="Arial" w:hAnsi="Arial" w:eastAsia="宋体" w:cs="Times New Roman"/>
      <w:i/>
      <w:kern w:val="0"/>
      <w:sz w:val="24"/>
      <w:szCs w:val="20"/>
      <w:lang w:val="en-GB"/>
    </w:rPr>
  </w:style>
  <w:style w:type="character" w:customStyle="1" w:styleId="46">
    <w:name w:val="标题 9 Char"/>
    <w:basedOn w:val="30"/>
    <w:link w:val="12"/>
    <w:qFormat/>
    <w:uiPriority w:val="0"/>
    <w:rPr>
      <w:rFonts w:ascii="Arial" w:hAnsi="Arial" w:eastAsia="宋体" w:cs="Times New Roman"/>
      <w:i/>
      <w:kern w:val="0"/>
      <w:sz w:val="18"/>
      <w:szCs w:val="20"/>
      <w:lang w:val="en-GB"/>
    </w:rPr>
  </w:style>
  <w:style w:type="character" w:customStyle="1" w:styleId="47">
    <w:name w:val="标题 Char"/>
    <w:basedOn w:val="30"/>
    <w:link w:val="25"/>
    <w:qFormat/>
    <w:uiPriority w:val="10"/>
    <w:rPr>
      <w:rFonts w:eastAsia="宋体" w:asciiTheme="majorHAnsi" w:hAnsiTheme="majorHAnsi" w:cstheme="majorBidi"/>
      <w:b/>
      <w:bCs/>
      <w:sz w:val="32"/>
      <w:szCs w:val="32"/>
    </w:rPr>
  </w:style>
  <w:style w:type="character" w:customStyle="1" w:styleId="48">
    <w:name w:val="副标题 Char"/>
    <w:basedOn w:val="30"/>
    <w:link w:val="22"/>
    <w:qFormat/>
    <w:uiPriority w:val="11"/>
    <w:rPr>
      <w:rFonts w:eastAsia="宋体" w:asciiTheme="majorHAnsi" w:hAnsiTheme="majorHAnsi" w:cstheme="majorBidi"/>
      <w:b/>
      <w:bCs/>
      <w:kern w:val="28"/>
      <w:sz w:val="32"/>
      <w:szCs w:val="32"/>
    </w:rPr>
  </w:style>
  <w:style w:type="character" w:customStyle="1" w:styleId="49">
    <w:name w:val="批注框文本 Char"/>
    <w:basedOn w:val="30"/>
    <w:link w:val="18"/>
    <w:semiHidden/>
    <w:qFormat/>
    <w:uiPriority w:val="99"/>
    <w:rPr>
      <w:sz w:val="18"/>
      <w:szCs w:val="18"/>
    </w:rPr>
  </w:style>
  <w:style w:type="paragraph" w:customStyle="1" w:styleId="50">
    <w:name w:val="TOC 标题1"/>
    <w:basedOn w:val="4"/>
    <w:next w:val="1"/>
    <w:semiHidden/>
    <w:unhideWhenUsed/>
    <w:qFormat/>
    <w:uiPriority w:val="39"/>
    <w:pPr>
      <w:keepLines/>
      <w:widowControl/>
      <w:numPr>
        <w:numId w:val="0"/>
      </w:numPr>
      <w:spacing w:before="480" w:after="0" w:line="276" w:lineRule="auto"/>
      <w:ind w:right="0"/>
      <w:outlineLvl w:val="9"/>
    </w:pPr>
    <w:rPr>
      <w:rFonts w:asciiTheme="majorHAnsi" w:hAnsiTheme="majorHAnsi" w:eastAsiaTheme="majorEastAsia" w:cstheme="majorBidi"/>
      <w:bCs/>
      <w:color w:val="366091" w:themeColor="accent1" w:themeShade="BF"/>
      <w:kern w:val="0"/>
      <w:sz w:val="28"/>
      <w:szCs w:val="28"/>
    </w:rPr>
  </w:style>
  <w:style w:type="paragraph" w:customStyle="1" w:styleId="51">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52">
    <w:name w:val="批注文字 Char"/>
    <w:basedOn w:val="30"/>
    <w:link w:val="14"/>
    <w:semiHidden/>
    <w:qFormat/>
    <w:uiPriority w:val="99"/>
  </w:style>
  <w:style w:type="character" w:customStyle="1" w:styleId="53">
    <w:name w:val="批注主题 Char"/>
    <w:basedOn w:val="52"/>
    <w:link w:val="26"/>
    <w:semiHidden/>
    <w:qFormat/>
    <w:uiPriority w:val="99"/>
    <w:rPr>
      <w:b/>
      <w:bCs/>
    </w:rPr>
  </w:style>
  <w:style w:type="paragraph" w:customStyle="1" w:styleId="54">
    <w:name w:val="17"/>
    <w:basedOn w:val="1"/>
    <w:qFormat/>
    <w:uiPriority w:val="0"/>
    <w:pPr>
      <w:widowControl/>
      <w:jc w:val="left"/>
    </w:pPr>
    <w:rPr>
      <w:rFonts w:ascii="宋体" w:hAnsi="宋体" w:cs="宋体"/>
      <w:sz w:val="24"/>
    </w:rPr>
  </w:style>
  <w:style w:type="character" w:customStyle="1" w:styleId="55">
    <w:name w:val="font11"/>
    <w:basedOn w:val="30"/>
    <w:qFormat/>
    <w:uiPriority w:val="0"/>
    <w:rPr>
      <w:rFonts w:hint="eastAsia" w:ascii="宋体" w:hAnsi="宋体" w:eastAsia="宋体" w:cs="宋体"/>
      <w:color w:val="000000"/>
      <w:sz w:val="22"/>
      <w:szCs w:val="22"/>
      <w:u w:val="none"/>
    </w:rPr>
  </w:style>
  <w:style w:type="character" w:customStyle="1" w:styleId="56">
    <w:name w:val="font51"/>
    <w:basedOn w:val="30"/>
    <w:qFormat/>
    <w:uiPriority w:val="0"/>
    <w:rPr>
      <w:rFonts w:hint="eastAsia" w:ascii="宋体" w:hAnsi="宋体" w:eastAsia="宋体" w:cs="宋体"/>
      <w:color w:val="000000"/>
      <w:sz w:val="22"/>
      <w:szCs w:val="22"/>
      <w:u w:val="none"/>
    </w:rPr>
  </w:style>
  <w:style w:type="character" w:customStyle="1" w:styleId="57">
    <w:name w:val="NormalCharacter"/>
    <w:semiHidden/>
    <w:qFormat/>
    <w:uiPriority w:val="0"/>
    <w:rPr>
      <w:kern w:val="2"/>
      <w:sz w:val="21"/>
      <w:szCs w:val="24"/>
      <w:lang w:val="en-US" w:eastAsia="zh-CN" w:bidi="ar-SA"/>
    </w:rPr>
  </w:style>
  <w:style w:type="paragraph" w:customStyle="1" w:styleId="58">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59">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60">
    <w:name w:val="修订4"/>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E09AE4-0C21-4881-88F0-9E076DC1BA4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8837</Words>
  <Characters>9371</Characters>
  <Lines>79</Lines>
  <Paragraphs>22</Paragraphs>
  <TotalTime>0</TotalTime>
  <ScaleCrop>false</ScaleCrop>
  <LinksUpToDate>false</LinksUpToDate>
  <CharactersWithSpaces>9505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2022-05-24T01:51:00Z</dcterms:created>
  <dc:creator>李亚博</dc:creator>
  <cp:lastModifiedBy>陈栋</cp:lastModifiedBy>
  <cp:lastPrinted>2023-03-14T08:43:00Z</cp:lastPrinted>
  <dcterms:modified xsi:type="dcterms:W3CDTF">2023-07-21T04:04:36Z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BFDDE4D2CF56496DA863F5D54C1A4EF3_13</vt:lpwstr>
  </property>
</Properties>
</file>